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8F5F4">
    <v:background id="_x0000_s2049">
      <v:fill type="tile" on="t" color2="#FFFFFF" o:title="paper2" focussize="0,0" recolor="t" r:id="rId9"/>
    </v:background>
  </w:background>
  <w:body>
    <w:p w14:paraId="30411EDC">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389289AD">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44CE7A2C">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7B9D6566">
      <w:pPr>
        <w:keepNext/>
        <w:keepLines/>
        <w:spacing w:before="240" w:after="240" w:line="720" w:lineRule="auto"/>
        <w:jc w:val="center"/>
        <w:outlineLvl w:val="0"/>
        <w:rPr>
          <w:rFonts w:hint="eastAsia" w:ascii="黑体" w:hAnsi="黑体" w:eastAsia="黑体"/>
          <w:bCs/>
          <w:kern w:val="44"/>
          <w:sz w:val="72"/>
          <w:szCs w:val="72"/>
        </w:rPr>
      </w:pPr>
      <w:r>
        <w:rPr>
          <w:rFonts w:hint="eastAsia" w:ascii="微软雅黑" w:hAnsi="微软雅黑" w:eastAsia="微软雅黑" w:cs="微软雅黑"/>
          <w:bCs/>
          <w:kern w:val="44"/>
          <w:sz w:val="72"/>
          <w:szCs w:val="72"/>
        </w:rPr>
        <w:t>大学生健康教育</w:t>
      </w:r>
    </w:p>
    <w:p w14:paraId="52AD8755">
      <w:pPr>
        <w:keepNext/>
        <w:keepLines/>
        <w:spacing w:before="240" w:after="240" w:line="720" w:lineRule="auto"/>
        <w:jc w:val="center"/>
        <w:outlineLvl w:val="0"/>
        <w:rPr>
          <w:rFonts w:hint="default" w:ascii="黑体" w:hAnsi="黑体" w:eastAsia="黑体"/>
          <w:bCs/>
          <w:kern w:val="44"/>
          <w:sz w:val="72"/>
          <w:szCs w:val="72"/>
          <w:lang w:val="en-US" w:eastAsia="zh-CN"/>
        </w:rPr>
      </w:pPr>
      <w:r>
        <w:rPr>
          <w:rFonts w:hint="eastAsia" w:ascii="黑体" w:hAnsi="黑体" w:eastAsia="黑体"/>
          <w:bCs/>
          <w:kern w:val="44"/>
          <w:sz w:val="72"/>
          <w:szCs w:val="72"/>
          <w:lang w:eastAsia="zh-CN"/>
        </w:rPr>
        <w:drawing>
          <wp:inline distT="0" distB="0" distL="114300" distR="114300">
            <wp:extent cx="0" cy="0"/>
            <wp:effectExtent l="0" t="0" r="0" b="0"/>
            <wp:docPr id="1" name="图片 1"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花2"/>
                    <pic:cNvPicPr>
                      <a:picLocks noChangeAspect="1"/>
                    </pic:cNvPicPr>
                  </pic:nvPicPr>
                  <pic:blipFill>
                    <a:blip r:embed="rId10"/>
                    <a:stretch>
                      <a:fillRect/>
                    </a:stretch>
                  </pic:blipFill>
                  <pic:spPr>
                    <a:xfrm>
                      <a:off x="0" y="0"/>
                      <a:ext cx="0" cy="0"/>
                    </a:xfrm>
                    <a:prstGeom prst="rect">
                      <a:avLst/>
                    </a:prstGeom>
                  </pic:spPr>
                </pic:pic>
              </a:graphicData>
            </a:graphic>
          </wp:inline>
        </w:drawing>
      </w:r>
      <w:r>
        <w:rPr>
          <w:rFonts w:hint="eastAsia" w:ascii="黑体" w:hAnsi="黑体" w:eastAsia="黑体"/>
          <w:bCs/>
          <w:kern w:val="44"/>
          <w:sz w:val="72"/>
          <w:szCs w:val="72"/>
          <w:lang w:val="en-US" w:eastAsia="zh-CN"/>
        </w:rPr>
        <w:t>教案</w:t>
      </w:r>
    </w:p>
    <w:p w14:paraId="5973C81D">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1312" behindDoc="1" locked="0" layoutInCell="1" allowOverlap="1">
            <wp:simplePos x="0" y="0"/>
            <wp:positionH relativeFrom="column">
              <wp:posOffset>3819525</wp:posOffset>
            </wp:positionH>
            <wp:positionV relativeFrom="page">
              <wp:posOffset>5426710</wp:posOffset>
            </wp:positionV>
            <wp:extent cx="3195320" cy="5271135"/>
            <wp:effectExtent l="0" t="0" r="5080" b="11430"/>
            <wp:wrapNone/>
            <wp:docPr id="3" name="图片 3"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花2"/>
                    <pic:cNvPicPr>
                      <a:picLocks noChangeAspect="1"/>
                    </pic:cNvPicPr>
                  </pic:nvPicPr>
                  <pic:blipFill>
                    <a:blip r:embed="rId10"/>
                    <a:srcRect r="8841" b="3026"/>
                    <a:stretch>
                      <a:fillRect/>
                    </a:stretch>
                  </pic:blipFill>
                  <pic:spPr>
                    <a:xfrm>
                      <a:off x="0" y="0"/>
                      <a:ext cx="3195320" cy="5271135"/>
                    </a:xfrm>
                    <a:prstGeom prst="rect">
                      <a:avLst/>
                    </a:prstGeom>
                  </pic:spPr>
                </pic:pic>
              </a:graphicData>
            </a:graphic>
          </wp:anchor>
        </w:drawing>
      </w:r>
    </w:p>
    <w:p w14:paraId="6D0A6682">
      <w:pPr>
        <w:keepNext/>
        <w:keepLines/>
        <w:spacing w:before="240" w:after="240" w:line="720" w:lineRule="auto"/>
        <w:jc w:val="center"/>
        <w:outlineLvl w:val="0"/>
        <w:rPr>
          <w:rFonts w:hint="eastAsia" w:ascii="黑体" w:hAnsi="黑体" w:eastAsia="黑体"/>
          <w:bCs/>
          <w:kern w:val="44"/>
          <w:sz w:val="21"/>
          <w:szCs w:val="21"/>
          <w:lang w:val="en-US" w:eastAsia="zh-CN"/>
        </w:rPr>
      </w:pPr>
    </w:p>
    <w:p w14:paraId="7BAE2BBA">
      <w:pPr>
        <w:keepNext/>
        <w:keepLines/>
        <w:spacing w:before="240" w:after="240" w:line="720" w:lineRule="auto"/>
        <w:jc w:val="center"/>
        <w:outlineLvl w:val="0"/>
        <w:rPr>
          <w:rFonts w:hint="eastAsia" w:ascii="黑体" w:hAnsi="黑体" w:eastAsia="黑体"/>
          <w:bCs/>
          <w:kern w:val="44"/>
          <w:sz w:val="21"/>
          <w:szCs w:val="21"/>
          <w:lang w:val="en-US" w:eastAsia="zh-CN"/>
        </w:rPr>
      </w:pPr>
    </w:p>
    <w:p w14:paraId="01A0FDBE">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0288" behindDoc="1" locked="0" layoutInCell="1" allowOverlap="1">
            <wp:simplePos x="0" y="0"/>
            <wp:positionH relativeFrom="column">
              <wp:posOffset>-532130</wp:posOffset>
            </wp:positionH>
            <wp:positionV relativeFrom="page">
              <wp:posOffset>7620</wp:posOffset>
            </wp:positionV>
            <wp:extent cx="2266315" cy="3599815"/>
            <wp:effectExtent l="0" t="0" r="0" b="0"/>
            <wp:wrapNone/>
            <wp:docPr id="4" name="图片 4" descr="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花"/>
                    <pic:cNvPicPr>
                      <a:picLocks noChangeAspect="1"/>
                    </pic:cNvPicPr>
                  </pic:nvPicPr>
                  <pic:blipFill>
                    <a:blip r:embed="rId11"/>
                    <a:srcRect l="16846" t="13133"/>
                    <a:stretch>
                      <a:fillRect/>
                    </a:stretch>
                  </pic:blipFill>
                  <pic:spPr>
                    <a:xfrm>
                      <a:off x="0" y="0"/>
                      <a:ext cx="2266315" cy="3599815"/>
                    </a:xfrm>
                    <a:prstGeom prst="rect">
                      <a:avLst/>
                    </a:prstGeom>
                  </pic:spPr>
                </pic:pic>
              </a:graphicData>
            </a:graphic>
          </wp:anchor>
        </w:drawing>
      </w:r>
    </w:p>
    <w:p w14:paraId="6CD1F3E4">
      <w:pPr>
        <w:keepNext/>
        <w:keepLines/>
        <w:spacing w:before="240" w:after="240" w:line="720" w:lineRule="auto"/>
        <w:jc w:val="both"/>
        <w:outlineLvl w:val="0"/>
        <w:rPr>
          <w:rFonts w:hint="eastAsia" w:ascii="黑体" w:hAnsi="黑体" w:eastAsia="黑体"/>
          <w:bCs/>
          <w:kern w:val="44"/>
          <w:sz w:val="21"/>
          <w:szCs w:val="21"/>
          <w:lang w:val="en-US" w:eastAsia="zh-CN"/>
        </w:rPr>
      </w:pPr>
    </w:p>
    <w:p w14:paraId="5478F57F">
      <w:pPr>
        <w:keepNext/>
        <w:keepLines/>
        <w:spacing w:before="240" w:after="240" w:line="720" w:lineRule="auto"/>
        <w:jc w:val="center"/>
        <w:outlineLvl w:val="0"/>
        <w:rPr>
          <w:rFonts w:hint="default" w:ascii="黑体" w:hAnsi="黑体" w:eastAsia="黑体"/>
          <w:bCs/>
          <w:kern w:val="44"/>
          <w:sz w:val="18"/>
          <w:szCs w:val="18"/>
          <w:lang w:val="en-US" w:eastAsia="zh-CN"/>
        </w:rPr>
        <w:sectPr>
          <w:headerReference r:id="rId4" w:type="first"/>
          <w:footerReference r:id="rId5" w:type="first"/>
          <w:headerReference r:id="rId3" w:type="default"/>
          <w:pgSz w:w="11906" w:h="16838"/>
          <w:pgMar w:top="1134" w:right="850" w:bottom="1134" w:left="850" w:header="0" w:footer="0" w:gutter="0"/>
          <w:pgBorders>
            <w:top w:val="none" w:sz="0" w:space="0"/>
            <w:left w:val="none" w:sz="0" w:space="0"/>
            <w:bottom w:val="none" w:sz="0" w:space="0"/>
            <w:right w:val="none" w:sz="0" w:space="0"/>
          </w:pgBorders>
          <w:cols w:space="720" w:num="1"/>
          <w:docGrid w:type="lines" w:linePitch="312" w:charSpace="0"/>
        </w:sectPr>
      </w:pPr>
      <w:r>
        <w:rPr>
          <w:rFonts w:hint="eastAsia" w:ascii="黑体" w:hAnsi="黑体" w:eastAsia="黑体"/>
          <w:bCs/>
          <w:kern w:val="44"/>
          <w:sz w:val="21"/>
          <w:szCs w:val="21"/>
          <w:lang w:val="en-US" w:eastAsia="zh-CN"/>
        </w:rPr>
        <w:t>北京出版社</w:t>
      </w:r>
    </w:p>
    <w:p w14:paraId="216AF25E">
      <w:pPr>
        <w:keepNext/>
        <w:keepLines/>
        <w:pageBreakBefore w:val="0"/>
        <w:widowControl w:val="0"/>
        <w:kinsoku/>
        <w:wordWrap/>
        <w:overflowPunct/>
        <w:topLinePunct w:val="0"/>
        <w:autoSpaceDE/>
        <w:autoSpaceDN/>
        <w:bidi w:val="0"/>
        <w:adjustRightInd/>
        <w:snapToGrid/>
        <w:spacing w:after="157" w:afterLines="50" w:line="360" w:lineRule="auto"/>
        <w:jc w:val="center"/>
        <w:textAlignment w:val="auto"/>
        <w:outlineLvl w:val="1"/>
        <w:rPr>
          <w:rFonts w:hint="eastAsia" w:ascii="黑体" w:hAnsi="黑体" w:eastAsia="黑体" w:cs="黑体"/>
          <w:b/>
          <w:bCs/>
          <w:color w:val="843C0B" w:themeColor="accent2" w:themeShade="80"/>
          <w:sz w:val="32"/>
          <w:szCs w:val="32"/>
        </w:rPr>
      </w:pPr>
      <w:r>
        <w:rPr>
          <w:rFonts w:hint="eastAsia" w:ascii="Times New Roman" w:hAnsi="Times New Roman"/>
          <w:b/>
          <w:bCs/>
          <w:sz w:val="28"/>
          <w:szCs w:val="28"/>
        </w:rPr>
        <w:t>模块</w:t>
      </w:r>
      <w:r>
        <w:rPr>
          <w:rFonts w:hint="eastAsia" w:ascii="Times New Roman" w:hAnsi="Times New Roman"/>
          <w:b/>
          <w:bCs/>
          <w:sz w:val="28"/>
          <w:szCs w:val="28"/>
          <w:lang w:eastAsia="zh-CN"/>
        </w:rPr>
        <w:t>七</w:t>
      </w:r>
      <w:r>
        <w:rPr>
          <w:rFonts w:hint="eastAsia" w:ascii="Times New Roman" w:hAnsi="Times New Roman"/>
          <w:b/>
          <w:bCs/>
          <w:sz w:val="28"/>
          <w:szCs w:val="28"/>
        </w:rPr>
        <w:t>　性与生殖健康</w:t>
      </w:r>
    </w:p>
    <w:tbl>
      <w:tblPr>
        <w:tblStyle w:val="7"/>
        <w:tblW w:w="10205" w:type="dxa"/>
        <w:jc w:val="center"/>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Layout w:type="fixed"/>
        <w:tblCellMar>
          <w:top w:w="0" w:type="dxa"/>
          <w:left w:w="108" w:type="dxa"/>
          <w:bottom w:w="0" w:type="dxa"/>
          <w:right w:w="108" w:type="dxa"/>
        </w:tblCellMar>
      </w:tblPr>
      <w:tblGrid>
        <w:gridCol w:w="1879"/>
        <w:gridCol w:w="6676"/>
        <w:gridCol w:w="1650"/>
      </w:tblGrid>
      <w:tr w14:paraId="65A0AD44">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2C9109F4">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课</w:t>
            </w:r>
            <w:r>
              <w:rPr>
                <w:rFonts w:hint="default" w:ascii="Times New Roman" w:hAnsi="Times New Roman"/>
                <w:b/>
                <w:sz w:val="28"/>
                <w:szCs w:val="28"/>
              </w:rPr>
              <w:t xml:space="preserve">  </w:t>
            </w:r>
            <w:r>
              <w:rPr>
                <w:rFonts w:hint="eastAsia" w:ascii="Times New Roman" w:hAnsi="Times New Roman"/>
                <w:b/>
                <w:sz w:val="28"/>
                <w:szCs w:val="28"/>
              </w:rPr>
              <w:t>题</w:t>
            </w:r>
          </w:p>
        </w:tc>
        <w:tc>
          <w:tcPr>
            <w:tcW w:w="8326" w:type="dxa"/>
            <w:gridSpan w:val="2"/>
            <w:tcBorders>
              <w:tl2br w:val="nil"/>
              <w:tr2bl w:val="nil"/>
            </w:tcBorders>
            <w:vAlign w:val="center"/>
          </w:tcPr>
          <w:p w14:paraId="10321A7C">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性与生殖健康</w:t>
            </w:r>
          </w:p>
        </w:tc>
      </w:tr>
      <w:tr w14:paraId="4D5321C8">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2B49DF81">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课</w:t>
            </w:r>
            <w:r>
              <w:rPr>
                <w:rFonts w:hint="eastAsia" w:ascii="Times New Roman" w:hAnsi="宋体"/>
                <w:b/>
                <w:sz w:val="28"/>
                <w:szCs w:val="28"/>
              </w:rPr>
              <w:t xml:space="preserve"> </w:t>
            </w:r>
            <w:r>
              <w:rPr>
                <w:rFonts w:hint="default" w:ascii="Times New Roman" w:hAnsi="宋体"/>
                <w:b/>
                <w:sz w:val="28"/>
                <w:szCs w:val="28"/>
              </w:rPr>
              <w:t xml:space="preserve"> 时</w:t>
            </w:r>
          </w:p>
        </w:tc>
        <w:tc>
          <w:tcPr>
            <w:tcW w:w="8326" w:type="dxa"/>
            <w:gridSpan w:val="2"/>
            <w:tcBorders>
              <w:tl2br w:val="nil"/>
              <w:tr2bl w:val="nil"/>
            </w:tcBorders>
            <w:vAlign w:val="center"/>
          </w:tcPr>
          <w:p w14:paraId="3AE06337">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Times New Roman"/>
                <w:sz w:val="28"/>
                <w:szCs w:val="28"/>
                <w:lang w:val="en-US" w:eastAsia="zh-CN"/>
              </w:rPr>
              <w:t>4</w:t>
            </w:r>
            <w:r>
              <w:rPr>
                <w:rFonts w:hint="default" w:ascii="Times New Roman" w:hAnsi="宋体"/>
                <w:sz w:val="28"/>
                <w:szCs w:val="28"/>
              </w:rPr>
              <w:t>课时</w:t>
            </w:r>
            <w:r>
              <w:rPr>
                <w:rFonts w:hint="eastAsia" w:ascii="Times New Roman" w:hAnsi="宋体"/>
                <w:sz w:val="28"/>
                <w:szCs w:val="28"/>
              </w:rPr>
              <w:t>（</w:t>
            </w:r>
            <w:r>
              <w:rPr>
                <w:rFonts w:hint="eastAsia" w:ascii="Times New Roman" w:hAnsi="宋体"/>
                <w:sz w:val="28"/>
                <w:szCs w:val="28"/>
                <w:lang w:val="en-US" w:eastAsia="zh-CN"/>
              </w:rPr>
              <w:t>180</w:t>
            </w:r>
            <w:r>
              <w:rPr>
                <w:rFonts w:hint="eastAsia" w:ascii="Times New Roman" w:hAnsi="宋体"/>
                <w:sz w:val="28"/>
                <w:szCs w:val="28"/>
              </w:rPr>
              <w:t xml:space="preserve"> min）。</w:t>
            </w:r>
          </w:p>
        </w:tc>
      </w:tr>
      <w:tr w14:paraId="10CE07BB">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478CB3C3">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教学目标</w:t>
            </w:r>
          </w:p>
        </w:tc>
        <w:tc>
          <w:tcPr>
            <w:tcW w:w="8326" w:type="dxa"/>
            <w:gridSpan w:val="2"/>
            <w:tcBorders>
              <w:tl2br w:val="nil"/>
              <w:tr2bl w:val="nil"/>
            </w:tcBorders>
            <w:vAlign w:val="center"/>
          </w:tcPr>
          <w:p w14:paraId="67FE72AA">
            <w:pPr>
              <w:keepNext w:val="0"/>
              <w:keepLines w:val="0"/>
              <w:suppressLineNumbers w:val="0"/>
              <w:spacing w:before="0" w:beforeAutospacing="0" w:after="0" w:afterAutospacing="0" w:line="360" w:lineRule="auto"/>
              <w:ind w:left="0" w:right="0" w:hanging="8"/>
              <w:rPr>
                <w:rFonts w:hint="default"/>
                <w:b/>
                <w:sz w:val="28"/>
                <w:szCs w:val="28"/>
              </w:rPr>
            </w:pPr>
            <w:r>
              <w:rPr>
                <w:rFonts w:hint="default" w:hAnsi="宋体"/>
                <w:b/>
                <w:sz w:val="28"/>
                <w:szCs w:val="28"/>
              </w:rPr>
              <w:t>知识</w:t>
            </w:r>
            <w:r>
              <w:rPr>
                <w:rFonts w:hint="eastAsia" w:hAnsi="宋体"/>
                <w:b/>
                <w:sz w:val="28"/>
                <w:szCs w:val="28"/>
              </w:rPr>
              <w:t>技能</w:t>
            </w:r>
            <w:r>
              <w:rPr>
                <w:rFonts w:hint="default" w:hAnsi="宋体"/>
                <w:b/>
                <w:sz w:val="28"/>
                <w:szCs w:val="28"/>
              </w:rPr>
              <w:t>目标：</w:t>
            </w:r>
          </w:p>
          <w:p w14:paraId="4C66FF3C">
            <w:pPr>
              <w:keepNext w:val="0"/>
              <w:keepLines w:val="0"/>
              <w:suppressLineNumbers w:val="0"/>
              <w:spacing w:before="0" w:beforeAutospacing="0" w:after="0" w:afterAutospacing="0" w:line="360" w:lineRule="auto"/>
              <w:ind w:left="0" w:right="0" w:hanging="8"/>
              <w:rPr>
                <w:rFonts w:hint="default" w:ascii="Times New Roman" w:hAnsi="宋体"/>
                <w:bCs/>
                <w:sz w:val="28"/>
                <w:szCs w:val="28"/>
              </w:rPr>
            </w:pPr>
            <w:r>
              <w:rPr>
                <w:rFonts w:hint="default" w:ascii="Times New Roman" w:hAnsi="Times New Roman"/>
                <w:sz w:val="28"/>
                <w:szCs w:val="28"/>
              </w:rPr>
              <w:t>1</w:t>
            </w:r>
            <w:r>
              <w:rPr>
                <w:rFonts w:hint="default" w:ascii="Times New Roman" w:hAnsi="宋体"/>
                <w:bCs/>
                <w:sz w:val="28"/>
                <w:szCs w:val="28"/>
              </w:rPr>
              <w:t>．</w:t>
            </w:r>
            <w:r>
              <w:rPr>
                <w:rFonts w:hint="eastAsia" w:ascii="Times New Roman" w:hAnsi="宋体"/>
                <w:bCs/>
                <w:sz w:val="28"/>
                <w:szCs w:val="28"/>
              </w:rPr>
              <w:t>了解性与生殖健康。</w:t>
            </w:r>
          </w:p>
          <w:p w14:paraId="28FFB031">
            <w:pPr>
              <w:keepNext w:val="0"/>
              <w:keepLines w:val="0"/>
              <w:suppressLineNumbers w:val="0"/>
              <w:spacing w:before="0" w:beforeAutospacing="0" w:after="0" w:afterAutospacing="0" w:line="360" w:lineRule="auto"/>
              <w:ind w:left="0" w:right="0" w:hanging="8"/>
              <w:rPr>
                <w:rFonts w:hint="default" w:ascii="Times New Roman" w:hAnsi="宋体"/>
                <w:sz w:val="28"/>
                <w:szCs w:val="28"/>
              </w:rPr>
            </w:pPr>
            <w:r>
              <w:rPr>
                <w:rFonts w:hint="default" w:ascii="Times New Roman" w:hAnsi="Times New Roman"/>
                <w:sz w:val="28"/>
                <w:szCs w:val="28"/>
              </w:rPr>
              <w:t>2</w:t>
            </w:r>
            <w:r>
              <w:rPr>
                <w:rFonts w:hint="default" w:ascii="Times New Roman" w:hAnsi="宋体"/>
                <w:bCs/>
                <w:sz w:val="28"/>
                <w:szCs w:val="28"/>
              </w:rPr>
              <w:t>．</w:t>
            </w:r>
            <w:r>
              <w:rPr>
                <w:rFonts w:hint="eastAsia" w:ascii="Times New Roman" w:hAnsi="宋体"/>
                <w:bCs/>
                <w:sz w:val="28"/>
                <w:szCs w:val="28"/>
              </w:rPr>
              <w:t>通过学习与练习掌握</w:t>
            </w:r>
            <w:r>
              <w:rPr>
                <w:rFonts w:hint="eastAsia" w:ascii="Times New Roman" w:hAnsi="宋体"/>
                <w:bCs/>
                <w:sz w:val="28"/>
                <w:szCs w:val="28"/>
                <w:lang w:eastAsia="zh-CN"/>
              </w:rPr>
              <w:t>两性生殖系统与卫生保健</w:t>
            </w:r>
            <w:r>
              <w:rPr>
                <w:rFonts w:hint="eastAsia" w:ascii="Times New Roman" w:hAnsi="宋体"/>
                <w:bCs/>
                <w:sz w:val="28"/>
                <w:szCs w:val="28"/>
              </w:rPr>
              <w:t>。</w:t>
            </w:r>
          </w:p>
          <w:p w14:paraId="59E8B29F">
            <w:pPr>
              <w:keepNext w:val="0"/>
              <w:keepLines w:val="0"/>
              <w:suppressLineNumbers w:val="0"/>
              <w:spacing w:before="0" w:beforeAutospacing="0" w:after="0" w:afterAutospacing="0" w:line="360" w:lineRule="auto"/>
              <w:ind w:left="0" w:right="0" w:hanging="8"/>
              <w:rPr>
                <w:rFonts w:hint="default" w:ascii="Times New Roman" w:hAnsi="Times New Roman"/>
                <w:b/>
                <w:sz w:val="28"/>
                <w:szCs w:val="28"/>
              </w:rPr>
            </w:pPr>
            <w:r>
              <w:rPr>
                <w:rFonts w:hint="default" w:ascii="Times New Roman" w:hAnsi="Times New Roman"/>
                <w:b/>
                <w:sz w:val="28"/>
                <w:szCs w:val="28"/>
              </w:rPr>
              <w:t>思政育人目标</w:t>
            </w:r>
            <w:r>
              <w:rPr>
                <w:rFonts w:hint="eastAsia" w:ascii="Times New Roman" w:hAnsi="Times New Roman"/>
                <w:b/>
                <w:sz w:val="28"/>
                <w:szCs w:val="28"/>
              </w:rPr>
              <w:t>：</w:t>
            </w:r>
          </w:p>
          <w:p w14:paraId="366817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560" w:firstLineChars="200"/>
              <w:textAlignment w:val="auto"/>
              <w:rPr>
                <w:rFonts w:hint="default" w:ascii="Times New Roman" w:hAnsi="Times New Roman"/>
                <w:sz w:val="28"/>
                <w:szCs w:val="28"/>
              </w:rPr>
            </w:pPr>
            <w:r>
              <w:rPr>
                <w:rFonts w:hint="eastAsia" w:ascii="Times New Roman" w:hAnsi="宋体"/>
                <w:bCs/>
                <w:sz w:val="28"/>
                <w:szCs w:val="28"/>
              </w:rPr>
              <w:t>让学生通过学习</w:t>
            </w:r>
            <w:r>
              <w:rPr>
                <w:rFonts w:hint="eastAsia" w:ascii="Times New Roman" w:hAnsi="宋体"/>
                <w:bCs/>
                <w:sz w:val="28"/>
                <w:szCs w:val="28"/>
                <w:lang w:eastAsia="zh-CN"/>
              </w:rPr>
              <w:t>性与生殖健康</w:t>
            </w:r>
            <w:r>
              <w:rPr>
                <w:rFonts w:hint="eastAsia" w:ascii="Times New Roman" w:hAnsi="宋体"/>
                <w:bCs/>
                <w:sz w:val="28"/>
                <w:szCs w:val="28"/>
              </w:rPr>
              <w:t>，了解</w:t>
            </w:r>
            <w:r>
              <w:rPr>
                <w:rFonts w:hint="eastAsia" w:ascii="Times New Roman" w:hAnsi="宋体"/>
                <w:bCs/>
                <w:sz w:val="28"/>
                <w:szCs w:val="28"/>
                <w:lang w:eastAsia="zh-CN"/>
              </w:rPr>
              <w:t>。性教育不等于性交教育，性教育和其他教育一样，对大学生有着非常重要的意义。</w:t>
            </w:r>
          </w:p>
        </w:tc>
      </w:tr>
      <w:tr w14:paraId="2962556A">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5FA94E28">
            <w:pPr>
              <w:keepNext w:val="0"/>
              <w:keepLines w:val="0"/>
              <w:suppressLineNumbers w:val="0"/>
              <w:spacing w:before="0" w:beforeAutospacing="0" w:after="0" w:afterAutospacing="0" w:line="360" w:lineRule="auto"/>
              <w:ind w:left="0" w:right="0" w:hanging="8"/>
              <w:jc w:val="center"/>
              <w:rPr>
                <w:rFonts w:hint="default" w:ascii="Times New Roman" w:hAnsi="宋体"/>
                <w:b/>
                <w:sz w:val="28"/>
                <w:szCs w:val="28"/>
              </w:rPr>
            </w:pPr>
            <w:r>
              <w:rPr>
                <w:rFonts w:hint="default" w:ascii="Times New Roman" w:hAnsi="宋体"/>
                <w:b/>
                <w:sz w:val="28"/>
                <w:szCs w:val="28"/>
              </w:rPr>
              <w:t>教学重</w:t>
            </w:r>
            <w:r>
              <w:rPr>
                <w:rFonts w:hint="eastAsia" w:ascii="Times New Roman" w:hAnsi="宋体"/>
                <w:b/>
                <w:sz w:val="28"/>
                <w:szCs w:val="28"/>
              </w:rPr>
              <w:t>难</w:t>
            </w:r>
            <w:r>
              <w:rPr>
                <w:rFonts w:hint="default" w:ascii="Times New Roman" w:hAnsi="宋体"/>
                <w:b/>
                <w:sz w:val="28"/>
                <w:szCs w:val="28"/>
              </w:rPr>
              <w:t>点</w:t>
            </w:r>
          </w:p>
        </w:tc>
        <w:tc>
          <w:tcPr>
            <w:tcW w:w="8326" w:type="dxa"/>
            <w:gridSpan w:val="2"/>
            <w:tcBorders>
              <w:tl2br w:val="nil"/>
              <w:tr2bl w:val="nil"/>
            </w:tcBorders>
            <w:vAlign w:val="center"/>
          </w:tcPr>
          <w:p w14:paraId="40715092">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8"/>
                <w:szCs w:val="28"/>
                <w:lang w:eastAsia="zh-CN"/>
              </w:rPr>
            </w:pPr>
            <w:r>
              <w:rPr>
                <w:rFonts w:hint="eastAsia" w:ascii="Times New Roman" w:hAnsi="Times New Roman"/>
                <w:b/>
                <w:sz w:val="28"/>
                <w:szCs w:val="28"/>
              </w:rPr>
              <w:t>教学重点：</w:t>
            </w:r>
            <w:r>
              <w:rPr>
                <w:rFonts w:hint="eastAsia" w:ascii="宋体" w:hAnsi="宋体" w:cs="宋体"/>
                <w:kern w:val="0"/>
                <w:sz w:val="28"/>
                <w:szCs w:val="28"/>
              </w:rPr>
              <w:t>性与生殖健康</w:t>
            </w:r>
          </w:p>
          <w:p w14:paraId="45CF9498">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Times New Roman"/>
                <w:b/>
                <w:sz w:val="28"/>
                <w:szCs w:val="28"/>
              </w:rPr>
              <w:t>教学难点：</w:t>
            </w:r>
            <w:r>
              <w:rPr>
                <w:rFonts w:hint="eastAsia" w:ascii="宋体" w:hAnsi="宋体" w:cs="宋体"/>
                <w:kern w:val="0"/>
                <w:sz w:val="28"/>
                <w:szCs w:val="28"/>
              </w:rPr>
              <w:t>两性生殖系统与卫生保健</w:t>
            </w:r>
          </w:p>
        </w:tc>
      </w:tr>
      <w:tr w14:paraId="0A85F927">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3AEC708C">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教学方法</w:t>
            </w:r>
          </w:p>
        </w:tc>
        <w:tc>
          <w:tcPr>
            <w:tcW w:w="8326" w:type="dxa"/>
            <w:gridSpan w:val="2"/>
            <w:tcBorders>
              <w:tl2br w:val="nil"/>
              <w:tr2bl w:val="nil"/>
            </w:tcBorders>
            <w:vAlign w:val="center"/>
          </w:tcPr>
          <w:p w14:paraId="33FCAC9B">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讲授法、问答法、讨论法</w:t>
            </w:r>
          </w:p>
        </w:tc>
      </w:tr>
      <w:tr w14:paraId="03F1CF80">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06E663D3">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教学用具</w:t>
            </w:r>
          </w:p>
        </w:tc>
        <w:tc>
          <w:tcPr>
            <w:tcW w:w="8326" w:type="dxa"/>
            <w:gridSpan w:val="2"/>
            <w:tcBorders>
              <w:tl2br w:val="nil"/>
              <w:tr2bl w:val="nil"/>
            </w:tcBorders>
            <w:vAlign w:val="center"/>
          </w:tcPr>
          <w:p w14:paraId="5B95C9C6">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电脑、投影仪、</w:t>
            </w:r>
            <w:r>
              <w:rPr>
                <w:rFonts w:hint="default" w:ascii="Times New Roman" w:hAnsi="宋体"/>
                <w:sz w:val="28"/>
                <w:szCs w:val="28"/>
              </w:rPr>
              <w:t>多媒体</w:t>
            </w:r>
            <w:r>
              <w:rPr>
                <w:rFonts w:hint="eastAsia" w:ascii="Times New Roman" w:hAnsi="宋体"/>
                <w:sz w:val="28"/>
                <w:szCs w:val="28"/>
              </w:rPr>
              <w:t>课件、教材</w:t>
            </w:r>
          </w:p>
        </w:tc>
      </w:tr>
      <w:tr w14:paraId="55275F1E">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13245485">
            <w:pPr>
              <w:keepNext w:val="0"/>
              <w:keepLines w:val="0"/>
              <w:suppressLineNumbers w:val="0"/>
              <w:spacing w:before="0" w:beforeAutospacing="0" w:after="0" w:afterAutospacing="0" w:line="360" w:lineRule="auto"/>
              <w:ind w:left="0" w:right="0" w:hanging="8"/>
              <w:jc w:val="center"/>
              <w:rPr>
                <w:rFonts w:hint="default" w:ascii="Times New Roman" w:hAnsi="宋体"/>
                <w:b/>
                <w:sz w:val="28"/>
                <w:szCs w:val="28"/>
              </w:rPr>
            </w:pPr>
            <w:r>
              <w:rPr>
                <w:rFonts w:hint="default" w:ascii="Times New Roman" w:hAnsi="宋体"/>
                <w:b/>
                <w:sz w:val="28"/>
                <w:szCs w:val="28"/>
              </w:rPr>
              <w:t>教学设计</w:t>
            </w:r>
          </w:p>
        </w:tc>
        <w:tc>
          <w:tcPr>
            <w:tcW w:w="8326" w:type="dxa"/>
            <w:gridSpan w:val="2"/>
            <w:tcBorders>
              <w:tl2br w:val="nil"/>
              <w:tr2bl w:val="nil"/>
            </w:tcBorders>
            <w:vAlign w:val="center"/>
          </w:tcPr>
          <w:p w14:paraId="659774D8">
            <w:pPr>
              <w:keepNext w:val="0"/>
              <w:keepLines w:val="0"/>
              <w:suppressLineNumbers w:val="0"/>
              <w:spacing w:before="0" w:beforeAutospacing="0" w:after="0" w:afterAutospacing="0" w:line="360" w:lineRule="auto"/>
              <w:ind w:left="0" w:right="0" w:hanging="8"/>
              <w:rPr>
                <w:rFonts w:hint="default" w:ascii="Times New Roman" w:hAnsi="宋体" w:eastAsia="宋体"/>
                <w:sz w:val="28"/>
                <w:szCs w:val="28"/>
                <w:lang w:val="en-US" w:eastAsia="zh-CN"/>
              </w:rPr>
            </w:pPr>
            <w:r>
              <w:rPr>
                <w:rFonts w:hint="eastAsia" w:ascii="Times New Roman" w:hAnsi="宋体"/>
                <w:kern w:val="0"/>
                <w:sz w:val="28"/>
                <w:szCs w:val="28"/>
              </w:rPr>
              <w:t>第</w:t>
            </w:r>
            <w:r>
              <w:rPr>
                <w:rFonts w:hint="default" w:ascii="Times New Roman" w:hAnsi="宋体"/>
                <w:kern w:val="0"/>
                <w:sz w:val="28"/>
                <w:szCs w:val="28"/>
              </w:rPr>
              <w:t>1</w:t>
            </w:r>
            <w:r>
              <w:rPr>
                <w:rFonts w:hint="eastAsia" w:ascii="Times New Roman" w:hAnsi="宋体"/>
                <w:kern w:val="0"/>
                <w:sz w:val="28"/>
                <w:szCs w:val="28"/>
              </w:rPr>
              <w:t>节课：</w:t>
            </w:r>
            <w:r>
              <w:rPr>
                <w:rFonts w:hint="eastAsia" w:ascii="Times New Roman" w:hAnsi="宋体"/>
                <w:sz w:val="28"/>
                <w:szCs w:val="28"/>
                <w:lang w:eastAsia="zh-CN"/>
              </w:rPr>
              <w:t>考勤</w:t>
            </w:r>
            <w:r>
              <w:rPr>
                <w:rFonts w:hint="eastAsia" w:ascii="Times New Roman" w:hAnsi="宋体"/>
                <w:sz w:val="28"/>
                <w:szCs w:val="28"/>
              </w:rPr>
              <w:t>（</w:t>
            </w:r>
            <w:r>
              <w:rPr>
                <w:rFonts w:hint="eastAsia" w:ascii="Times New Roman" w:hAnsi="宋体"/>
                <w:sz w:val="28"/>
                <w:szCs w:val="28"/>
                <w:lang w:val="en-US" w:eastAsia="zh-CN"/>
              </w:rPr>
              <w:t>2</w:t>
            </w:r>
            <w:r>
              <w:rPr>
                <w:rFonts w:hint="eastAsia" w:ascii="Times New Roman" w:hAnsi="宋体"/>
                <w:sz w:val="28"/>
                <w:szCs w:val="28"/>
              </w:rPr>
              <w:t>min）--</w:t>
            </w:r>
            <w:r>
              <w:rPr>
                <w:rFonts w:hint="eastAsia" w:ascii="Times New Roman" w:hAnsi="宋体"/>
                <w:sz w:val="28"/>
                <w:szCs w:val="28"/>
                <w:lang w:eastAsia="zh-CN"/>
              </w:rPr>
              <w:t>知识讲解</w:t>
            </w:r>
            <w:r>
              <w:rPr>
                <w:rFonts w:hint="eastAsia" w:ascii="Times New Roman" w:hAnsi="宋体"/>
                <w:sz w:val="28"/>
                <w:szCs w:val="28"/>
              </w:rPr>
              <w:t>（</w:t>
            </w:r>
            <w:r>
              <w:rPr>
                <w:rFonts w:hint="default" w:ascii="Times New Roman" w:hAnsi="宋体"/>
                <w:sz w:val="28"/>
                <w:szCs w:val="28"/>
              </w:rPr>
              <w:t>40</w:t>
            </w:r>
            <w:r>
              <w:rPr>
                <w:rFonts w:hint="eastAsia" w:ascii="Times New Roman" w:hAnsi="宋体"/>
                <w:sz w:val="28"/>
                <w:szCs w:val="28"/>
              </w:rPr>
              <w:t>min）</w:t>
            </w:r>
            <w:r>
              <w:rPr>
                <w:rFonts w:hint="eastAsia" w:ascii="Times New Roman" w:hAnsi="宋体"/>
                <w:sz w:val="28"/>
                <w:szCs w:val="28"/>
                <w:lang w:val="en-US" w:eastAsia="zh-CN"/>
              </w:rPr>
              <w:t>--作业布置（3min）</w:t>
            </w:r>
          </w:p>
          <w:p w14:paraId="527B5AC1">
            <w:pPr>
              <w:keepNext w:val="0"/>
              <w:keepLines w:val="0"/>
              <w:suppressLineNumbers w:val="0"/>
              <w:spacing w:before="0" w:beforeAutospacing="0" w:after="0" w:afterAutospacing="0" w:line="360" w:lineRule="auto"/>
              <w:ind w:left="0" w:right="0" w:hanging="8"/>
              <w:rPr>
                <w:rFonts w:hint="default" w:ascii="Times New Roman" w:hAnsi="宋体" w:eastAsia="宋体"/>
                <w:sz w:val="28"/>
                <w:szCs w:val="28"/>
                <w:lang w:val="en-US" w:eastAsia="zh-CN"/>
              </w:rPr>
            </w:pPr>
            <w:r>
              <w:rPr>
                <w:rFonts w:hint="eastAsia" w:ascii="Times New Roman" w:hAnsi="宋体"/>
                <w:kern w:val="0"/>
                <w:sz w:val="28"/>
                <w:szCs w:val="28"/>
              </w:rPr>
              <w:t>第</w:t>
            </w:r>
            <w:r>
              <w:rPr>
                <w:rFonts w:hint="default" w:ascii="Times New Roman" w:hAnsi="宋体"/>
                <w:kern w:val="0"/>
                <w:sz w:val="28"/>
                <w:szCs w:val="28"/>
              </w:rPr>
              <w:t>2</w:t>
            </w:r>
            <w:r>
              <w:rPr>
                <w:rFonts w:hint="eastAsia" w:ascii="Times New Roman" w:hAnsi="宋体"/>
                <w:kern w:val="0"/>
                <w:sz w:val="28"/>
                <w:szCs w:val="28"/>
              </w:rPr>
              <w:t>节课：</w:t>
            </w:r>
            <w:r>
              <w:rPr>
                <w:rFonts w:hint="eastAsia" w:ascii="Times New Roman" w:hAnsi="宋体"/>
                <w:sz w:val="28"/>
                <w:szCs w:val="28"/>
                <w:lang w:eastAsia="zh-CN"/>
              </w:rPr>
              <w:t>知识讲解</w:t>
            </w:r>
            <w:r>
              <w:rPr>
                <w:rFonts w:hint="eastAsia" w:ascii="Times New Roman" w:hAnsi="宋体"/>
                <w:sz w:val="28"/>
                <w:szCs w:val="28"/>
              </w:rPr>
              <w:t>（40min）--</w:t>
            </w:r>
            <w:r>
              <w:rPr>
                <w:rFonts w:hint="eastAsia" w:ascii="Times New Roman" w:hAnsi="宋体"/>
                <w:sz w:val="28"/>
                <w:szCs w:val="28"/>
                <w:lang w:eastAsia="zh-CN"/>
              </w:rPr>
              <w:t>课堂小结</w:t>
            </w:r>
            <w:r>
              <w:rPr>
                <w:rFonts w:hint="eastAsia" w:ascii="Times New Roman" w:hAnsi="宋体"/>
                <w:sz w:val="28"/>
                <w:szCs w:val="28"/>
              </w:rPr>
              <w:t>（3min）</w:t>
            </w:r>
            <w:r>
              <w:rPr>
                <w:rFonts w:hint="eastAsia" w:ascii="Times New Roman" w:hAnsi="宋体"/>
                <w:sz w:val="28"/>
                <w:szCs w:val="28"/>
                <w:lang w:val="en-US" w:eastAsia="zh-CN"/>
              </w:rPr>
              <w:t>--作业布置（2min）</w:t>
            </w:r>
          </w:p>
          <w:p w14:paraId="69EEC1EB">
            <w:pPr>
              <w:keepNext w:val="0"/>
              <w:keepLines w:val="0"/>
              <w:suppressLineNumbers w:val="0"/>
              <w:spacing w:before="0" w:beforeAutospacing="0" w:after="0" w:afterAutospacing="0" w:line="360" w:lineRule="auto"/>
              <w:ind w:left="0" w:right="0" w:hanging="8"/>
              <w:rPr>
                <w:rFonts w:hint="eastAsia" w:ascii="Times New Roman" w:hAnsi="宋体"/>
                <w:sz w:val="28"/>
                <w:szCs w:val="28"/>
              </w:rPr>
            </w:pPr>
            <w:r>
              <w:rPr>
                <w:rFonts w:hint="eastAsia" w:ascii="Times New Roman" w:hAnsi="宋体"/>
                <w:kern w:val="0"/>
                <w:sz w:val="28"/>
                <w:szCs w:val="28"/>
              </w:rPr>
              <w:t>第</w:t>
            </w:r>
            <w:r>
              <w:rPr>
                <w:rFonts w:hint="default" w:ascii="Times New Roman" w:hAnsi="宋体"/>
                <w:kern w:val="0"/>
                <w:sz w:val="28"/>
                <w:szCs w:val="28"/>
              </w:rPr>
              <w:t>3</w:t>
            </w:r>
            <w:r>
              <w:rPr>
                <w:rFonts w:hint="eastAsia" w:ascii="Times New Roman" w:hAnsi="宋体"/>
                <w:kern w:val="0"/>
                <w:sz w:val="28"/>
                <w:szCs w:val="28"/>
              </w:rPr>
              <w:t>节课：</w:t>
            </w:r>
            <w:r>
              <w:rPr>
                <w:rFonts w:hint="eastAsia" w:ascii="Times New Roman" w:hAnsi="宋体"/>
                <w:sz w:val="28"/>
                <w:szCs w:val="28"/>
                <w:lang w:eastAsia="zh-CN"/>
              </w:rPr>
              <w:t>知识讲解</w:t>
            </w:r>
            <w:r>
              <w:rPr>
                <w:rFonts w:hint="eastAsia" w:ascii="Times New Roman" w:hAnsi="宋体"/>
                <w:sz w:val="28"/>
                <w:szCs w:val="28"/>
              </w:rPr>
              <w:t>（40min）--</w:t>
            </w:r>
            <w:r>
              <w:rPr>
                <w:rFonts w:hint="eastAsia" w:ascii="Times New Roman" w:hAnsi="宋体"/>
                <w:sz w:val="28"/>
                <w:szCs w:val="28"/>
                <w:lang w:eastAsia="zh-CN"/>
              </w:rPr>
              <w:t>课堂小结</w:t>
            </w:r>
            <w:r>
              <w:rPr>
                <w:rFonts w:hint="eastAsia" w:ascii="Times New Roman" w:hAnsi="宋体"/>
                <w:sz w:val="28"/>
                <w:szCs w:val="28"/>
              </w:rPr>
              <w:t>（3min）--</w:t>
            </w:r>
            <w:r>
              <w:rPr>
                <w:rFonts w:hint="eastAsia" w:ascii="Times New Roman" w:hAnsi="宋体"/>
                <w:sz w:val="28"/>
                <w:szCs w:val="28"/>
                <w:lang w:eastAsia="zh-CN"/>
              </w:rPr>
              <w:t>作业布置</w:t>
            </w:r>
            <w:r>
              <w:rPr>
                <w:rFonts w:hint="eastAsia" w:ascii="Times New Roman" w:hAnsi="宋体"/>
                <w:sz w:val="28"/>
                <w:szCs w:val="28"/>
              </w:rPr>
              <w:t>（2min）</w:t>
            </w:r>
          </w:p>
          <w:p w14:paraId="7ED63D58">
            <w:pPr>
              <w:keepNext w:val="0"/>
              <w:keepLines w:val="0"/>
              <w:suppressLineNumbers w:val="0"/>
              <w:spacing w:before="0" w:beforeAutospacing="0" w:after="0" w:afterAutospacing="0" w:line="360" w:lineRule="auto"/>
              <w:ind w:left="0" w:right="0" w:hanging="8"/>
              <w:rPr>
                <w:rFonts w:hint="default" w:ascii="Times New Roman" w:hAnsi="宋体"/>
                <w:sz w:val="28"/>
                <w:szCs w:val="28"/>
              </w:rPr>
            </w:pPr>
            <w:r>
              <w:rPr>
                <w:rFonts w:hint="default" w:ascii="Times New Roman" w:hAnsi="宋体"/>
                <w:sz w:val="28"/>
                <w:szCs w:val="28"/>
              </w:rPr>
              <w:t>第</w:t>
            </w:r>
            <w:r>
              <w:rPr>
                <w:rFonts w:hint="eastAsia" w:ascii="Times New Roman" w:hAnsi="宋体"/>
                <w:sz w:val="28"/>
                <w:szCs w:val="28"/>
                <w:lang w:val="en-US" w:eastAsia="zh-CN"/>
              </w:rPr>
              <w:t>4</w:t>
            </w:r>
            <w:r>
              <w:rPr>
                <w:rFonts w:hint="default" w:ascii="Times New Roman" w:hAnsi="宋体"/>
                <w:sz w:val="28"/>
                <w:szCs w:val="28"/>
              </w:rPr>
              <w:t>节课：知识讲解（40min）--课堂小结（3min）--作业布置（2min）</w:t>
            </w:r>
          </w:p>
        </w:tc>
      </w:tr>
      <w:tr w14:paraId="19143B91">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5BEE57AD">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 w:val="28"/>
                <w:szCs w:val="28"/>
              </w:rPr>
            </w:pPr>
            <w:bookmarkStart w:id="0" w:name="_GoBack" w:colFirst="1" w:colLast="2"/>
            <w:r>
              <w:rPr>
                <w:rFonts w:hint="eastAsia" w:ascii="Times New Roman" w:hAnsi="Times New Roman"/>
                <w:b/>
                <w:bCs w:val="0"/>
                <w:color w:val="C00000"/>
                <w:sz w:val="28"/>
                <w:szCs w:val="28"/>
              </w:rPr>
              <w:t>教学过程</w:t>
            </w:r>
          </w:p>
        </w:tc>
        <w:tc>
          <w:tcPr>
            <w:tcW w:w="6676" w:type="dxa"/>
            <w:tcBorders>
              <w:tl2br w:val="nil"/>
              <w:tr2bl w:val="nil"/>
            </w:tcBorders>
            <w:shd w:val="clear" w:color="auto" w:fill="FEF2CC" w:themeFill="accent4" w:themeFillTint="32"/>
            <w:vAlign w:val="center"/>
          </w:tcPr>
          <w:p w14:paraId="4055B42C">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 w:val="28"/>
                <w:szCs w:val="28"/>
              </w:rPr>
            </w:pPr>
            <w:r>
              <w:rPr>
                <w:rFonts w:hint="eastAsia" w:ascii="Times New Roman" w:hAnsi="Times New Roman"/>
                <w:b/>
                <w:bCs w:val="0"/>
                <w:color w:val="C00000"/>
                <w:sz w:val="28"/>
                <w:szCs w:val="28"/>
              </w:rPr>
              <w:t>主 要 教 学 内 容 及 步 骤</w:t>
            </w:r>
          </w:p>
        </w:tc>
        <w:tc>
          <w:tcPr>
            <w:tcW w:w="1650" w:type="dxa"/>
            <w:tcBorders>
              <w:tl2br w:val="nil"/>
              <w:tr2bl w:val="nil"/>
            </w:tcBorders>
            <w:shd w:val="clear" w:color="auto" w:fill="FEF2CC" w:themeFill="accent4" w:themeFillTint="32"/>
            <w:vAlign w:val="center"/>
          </w:tcPr>
          <w:p w14:paraId="28894EB5">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 w:val="28"/>
                <w:szCs w:val="28"/>
              </w:rPr>
            </w:pPr>
            <w:r>
              <w:rPr>
                <w:rFonts w:hint="default" w:ascii="Times New Roman" w:hAnsi="Times New Roman"/>
                <w:b/>
                <w:bCs w:val="0"/>
                <w:color w:val="C00000"/>
                <w:sz w:val="28"/>
                <w:szCs w:val="28"/>
              </w:rPr>
              <w:t>设计意图</w:t>
            </w:r>
          </w:p>
        </w:tc>
      </w:tr>
      <w:bookmarkEnd w:id="0"/>
      <w:tr w14:paraId="3CE7329D">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3137BC4E">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8"/>
                <w:szCs w:val="28"/>
                <w:lang w:eastAsia="zh-CN"/>
              </w:rPr>
            </w:pPr>
            <w:r>
              <w:rPr>
                <w:rFonts w:hint="eastAsia" w:ascii="Times New Roman" w:hAnsi="Times New Roman"/>
                <w:b/>
                <w:sz w:val="28"/>
                <w:szCs w:val="28"/>
                <w:lang w:eastAsia="zh-CN"/>
              </w:rPr>
              <w:t>考勤</w:t>
            </w:r>
          </w:p>
          <w:p w14:paraId="3EFC73AF">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8"/>
                <w:szCs w:val="28"/>
                <w:lang w:eastAsia="zh-CN"/>
              </w:rPr>
            </w:pPr>
            <w:r>
              <w:rPr>
                <w:rFonts w:hint="eastAsia" w:ascii="Times New Roman" w:hAnsi="Times New Roman"/>
                <w:b/>
                <w:sz w:val="28"/>
                <w:szCs w:val="28"/>
                <w:lang w:eastAsia="zh-CN"/>
              </w:rPr>
              <w:t>（</w:t>
            </w:r>
            <w:r>
              <w:rPr>
                <w:rFonts w:hint="eastAsia" w:ascii="Times New Roman" w:hAnsi="Times New Roman"/>
                <w:b/>
                <w:sz w:val="28"/>
                <w:szCs w:val="28"/>
                <w:lang w:val="en-US" w:eastAsia="zh-CN"/>
              </w:rPr>
              <w:t>2min</w:t>
            </w:r>
            <w:r>
              <w:rPr>
                <w:rFonts w:hint="eastAsia" w:ascii="Times New Roman" w:hAnsi="Times New Roman"/>
                <w:b/>
                <w:sz w:val="28"/>
                <w:szCs w:val="28"/>
                <w:lang w:eastAsia="zh-CN"/>
              </w:rPr>
              <w:t>）</w:t>
            </w:r>
          </w:p>
        </w:tc>
        <w:tc>
          <w:tcPr>
            <w:tcW w:w="6676" w:type="dxa"/>
            <w:tcBorders>
              <w:tl2br w:val="nil"/>
              <w:tr2bl w:val="nil"/>
            </w:tcBorders>
            <w:vAlign w:val="center"/>
          </w:tcPr>
          <w:p w14:paraId="4E1702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8"/>
                <w:szCs w:val="28"/>
              </w:rPr>
            </w:pPr>
            <w:r>
              <w:rPr>
                <w:rFonts w:hint="eastAsia" w:ascii="Times New Roman" w:hAnsi="Times New Roman"/>
                <w:color w:val="C00000"/>
                <w:sz w:val="28"/>
                <w:szCs w:val="28"/>
              </w:rPr>
              <w:t>■</w:t>
            </w:r>
            <w:r>
              <w:rPr>
                <w:rFonts w:hint="eastAsia" w:ascii="Times New Roman" w:hAnsi="Times New Roman"/>
                <w:color w:val="C00000"/>
                <w:sz w:val="28"/>
                <w:szCs w:val="28"/>
                <w:lang w:eastAsia="zh-CN"/>
              </w:rPr>
              <w:t>【教师】</w:t>
            </w:r>
            <w:r>
              <w:rPr>
                <w:rFonts w:hint="eastAsia" w:ascii="Times New Roman" w:hAnsi="Times New Roman"/>
                <w:color w:val="C00000"/>
                <w:sz w:val="28"/>
                <w:szCs w:val="28"/>
              </w:rPr>
              <w:t>清点上课人数，记录好考勤</w:t>
            </w:r>
          </w:p>
          <w:p w14:paraId="5BF257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8"/>
                <w:szCs w:val="28"/>
              </w:rPr>
            </w:pPr>
            <w:r>
              <w:rPr>
                <w:rFonts w:hint="eastAsia" w:ascii="Times New Roman" w:hAnsi="Times New Roman"/>
                <w:color w:val="548235" w:themeColor="accent6" w:themeShade="BF"/>
                <w:sz w:val="28"/>
                <w:szCs w:val="28"/>
              </w:rPr>
              <w:t>■</w:t>
            </w:r>
            <w:r>
              <w:rPr>
                <w:rFonts w:hint="eastAsia" w:ascii="Times New Roman" w:hAnsi="Times New Roman"/>
                <w:color w:val="548235" w:themeColor="accent6" w:themeShade="BF"/>
                <w:sz w:val="28"/>
                <w:szCs w:val="28"/>
                <w:lang w:eastAsia="zh-CN"/>
              </w:rPr>
              <w:t>【学生】</w:t>
            </w:r>
            <w:r>
              <w:rPr>
                <w:rFonts w:hint="eastAsia" w:ascii="Times New Roman" w:hAnsi="Times New Roman"/>
                <w:color w:val="548235" w:themeColor="accent6" w:themeShade="BF"/>
                <w:sz w:val="28"/>
                <w:szCs w:val="28"/>
              </w:rPr>
              <w:t>班干部报请假人员及原因</w:t>
            </w:r>
          </w:p>
        </w:tc>
        <w:tc>
          <w:tcPr>
            <w:tcW w:w="1650" w:type="dxa"/>
            <w:tcBorders>
              <w:tl2br w:val="nil"/>
              <w:tr2bl w:val="nil"/>
            </w:tcBorders>
            <w:vAlign w:val="center"/>
          </w:tcPr>
          <w:p w14:paraId="2C84C340">
            <w:pPr>
              <w:keepNext w:val="0"/>
              <w:keepLines w:val="0"/>
              <w:suppressLineNumbers w:val="0"/>
              <w:spacing w:before="0" w:beforeAutospacing="0" w:after="0" w:afterAutospacing="0" w:line="360" w:lineRule="auto"/>
              <w:ind w:left="0" w:right="0"/>
              <w:jc w:val="center"/>
              <w:rPr>
                <w:rFonts w:hint="default" w:ascii="Times New Roman" w:hAnsi="Times New Roman"/>
                <w:sz w:val="28"/>
                <w:szCs w:val="28"/>
              </w:rPr>
            </w:pPr>
            <w:r>
              <w:rPr>
                <w:rFonts w:hint="eastAsia" w:ascii="Times New Roman" w:hAnsi="Times New Roman"/>
                <w:sz w:val="28"/>
                <w:szCs w:val="28"/>
              </w:rPr>
              <w:t>培养学生的组织纪律性,掌握学生的出勤情况</w:t>
            </w:r>
          </w:p>
        </w:tc>
      </w:tr>
      <w:tr w14:paraId="4D8A12D0">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4322F34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5B13837F">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68AC3F8C">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277F90D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226C96A1">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6EFBDDAC">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7822CEEE">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3DD103B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87E94C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86DD9D3">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504B3E93">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66BFD177">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5AB0B22E">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6B3DBE9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6E4DAA6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6FA316B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66F4E6C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45DCF4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2856A676">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r>
              <w:rPr>
                <w:rFonts w:hint="eastAsia" w:ascii="微软雅黑" w:hAnsi="微软雅黑" w:eastAsia="微软雅黑"/>
                <w:b/>
                <w:sz w:val="28"/>
                <w:szCs w:val="28"/>
                <w:lang w:eastAsia="zh-CN"/>
              </w:rPr>
              <w:t>知识讲解</w:t>
            </w:r>
          </w:p>
          <w:p w14:paraId="1BB1F937">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Times New Roman"/>
                <w:sz w:val="28"/>
                <w:szCs w:val="28"/>
              </w:rPr>
              <w:t>（</w:t>
            </w:r>
            <w:r>
              <w:rPr>
                <w:rFonts w:hint="eastAsia" w:ascii="Times New Roman" w:hAnsi="Times New Roman"/>
                <w:sz w:val="28"/>
                <w:szCs w:val="28"/>
                <w:lang w:val="en-US" w:eastAsia="zh-CN"/>
              </w:rPr>
              <w:t>40</w:t>
            </w:r>
            <w:r>
              <w:rPr>
                <w:rFonts w:hint="eastAsia" w:ascii="Times New Roman" w:hAnsi="Times New Roman"/>
                <w:sz w:val="28"/>
                <w:szCs w:val="28"/>
              </w:rPr>
              <w:t>min</w:t>
            </w:r>
            <w:r>
              <w:rPr>
                <w:rFonts w:hint="default" w:ascii="Times New Roman" w:hAnsi="Times New Roman"/>
                <w:sz w:val="28"/>
                <w:szCs w:val="28"/>
              </w:rPr>
              <w:t>）</w:t>
            </w:r>
          </w:p>
        </w:tc>
        <w:tc>
          <w:tcPr>
            <w:tcW w:w="6676" w:type="dxa"/>
            <w:tcBorders>
              <w:tl2br w:val="nil"/>
              <w:tr2bl w:val="nil"/>
            </w:tcBorders>
            <w:vAlign w:val="center"/>
          </w:tcPr>
          <w:p w14:paraId="5A5CAC52">
            <w:pPr>
              <w:keepNext w:val="0"/>
              <w:keepLines w:val="0"/>
              <w:suppressLineNumbers w:val="0"/>
              <w:spacing w:before="0" w:beforeAutospacing="0" w:after="0" w:afterAutospacing="0" w:line="360" w:lineRule="auto"/>
              <w:ind w:left="0" w:right="0"/>
              <w:rPr>
                <w:rFonts w:hint="eastAsia" w:ascii="Times New Roman" w:hAnsi="Times New Roman"/>
                <w:b/>
                <w:color w:val="C00000"/>
                <w:sz w:val="28"/>
                <w:szCs w:val="28"/>
                <w:lang w:eastAsia="zh-CN"/>
              </w:rPr>
            </w:pPr>
            <w:r>
              <w:rPr>
                <w:rFonts w:hint="eastAsia" w:ascii="Times New Roman" w:hAnsi="Times New Roman"/>
                <w:b/>
                <w:color w:val="C00000"/>
                <w:sz w:val="28"/>
                <w:szCs w:val="28"/>
              </w:rPr>
              <w:t>【教师】</w:t>
            </w:r>
            <w:r>
              <w:rPr>
                <w:rFonts w:hint="eastAsia" w:ascii="Times New Roman" w:hAnsi="Times New Roman"/>
                <w:b w:val="0"/>
                <w:bCs/>
                <w:color w:val="C00000"/>
                <w:sz w:val="28"/>
                <w:szCs w:val="28"/>
                <w:lang w:val="en-US" w:eastAsia="zh-CN"/>
              </w:rPr>
              <w:t>展示性与生殖健康</w:t>
            </w:r>
          </w:p>
          <w:p w14:paraId="0787BF2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一、性的概念</w:t>
            </w:r>
          </w:p>
          <w:p w14:paraId="3D9E612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性”是大学生难以启齿，但又备受关注的话题，提到“性”，大家的反应也是形形色色，各不相同：有的扭扭捏捏，有的大大方方；有的懵懵懂懂，有的相对了解；有的闭口不言，有的侃侃而谈；有的内心压抑，有的心生向往……然而，性作为我们生命的一个组成部分，任何人都无法回避。</w:t>
            </w:r>
          </w:p>
          <w:p w14:paraId="2784FBD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那么，“性”到底是什么？</w:t>
            </w:r>
          </w:p>
          <w:p w14:paraId="766F130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性是人的自然属性与社会属性的统一。作为自然属性的性，是指男女在生理构造上的差异和人生来具有的性的欲望和本能，是人类生存和繁衍后代的必要基础条件。作为社会属性的性，是性的本质体现。人的性需要，不仅包括生理性需要，更重要的是社会性需要。性在不同的层面有不同的含义。性是生物学上的词汇，常指男女两性在生物学上的差异。性别是心理学上的词汇，指男女两性在生理差别基础上的心理差异。性别角色是社会学上的词汇，它是社会按照人们的性别赋予人们不同的社会行为模式。</w:t>
            </w:r>
          </w:p>
          <w:p w14:paraId="6AD6BE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二、生殖健康概念</w:t>
            </w:r>
          </w:p>
          <w:p w14:paraId="1302028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 xml:space="preserve">生殖健康指在生命每个阶段中个体的生殖系统、生殖过程和生殖功能的状况，包括与生殖相关的身体健康和心理健康。 </w:t>
            </w:r>
          </w:p>
          <w:p w14:paraId="55CE53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1994 年，国际人口与发展会议将生殖健康定义为：生殖健康是指与生殖系统及其功能和过程所涉一切事宜，包括身体、精神和社会等方面的健康状态，而不仅仅指没有疾病或虚弱。因此，男女均有权获知并能实际获取他们所选定的安全、有效、负担得起和可接受的计划生育方法，有权获取他们所选定的、不违反法律的调节生育率的方法。常见的生殖健康问题涵盖生殖系统疾病、青少年早孕、避孕、孕产妇抑郁、性传播疾病防治、辅助生殖等。</w:t>
            </w:r>
          </w:p>
          <w:p w14:paraId="0A93C99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三、计划生育</w:t>
            </w:r>
          </w:p>
          <w:p w14:paraId="603D371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（一）计划生育的基本概念</w:t>
            </w:r>
          </w:p>
          <w:p w14:paraId="022AB97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计划生育是我国重要的基本国策，是指人类社会发展到一定文明程度后，为了适应自然环境和人类自身发展的客观需要，自觉地在全社会采取的调节生育的行为。为了社会、家庭和夫妻的利益，育龄夫妻有计划地在适当年龄生育合理数量的子女，并养育健康的下一代，以增进家庭幸福，促进人口、经济、社会、资源、环境协调发展和可持续发展。</w:t>
            </w:r>
          </w:p>
          <w:p w14:paraId="40D3B95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（二）计划生育的含义</w:t>
            </w:r>
          </w:p>
          <w:p w14:paraId="7C236FA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计划生育包括两个含义：一是对国家或地区而言，政府依据本国或某地区的人口政策，对管辖范围内的人口发展进行有计划地调节和指导，使人口发展与经济、社会发展相协调，与资源利用、生存环境相适应；二是对家庭或夫妇而言，育龄群众应考虑自身和家庭其他成员以及后代的权益，自觉而负责任地行使计划生育子女的权利，以实现对国家、社会、家庭以及子女的责任。</w:t>
            </w:r>
          </w:p>
          <w:p w14:paraId="1CDEAB2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我国宪法第二十五条规定：“国家推行计划生育，使人口的增长同经济和社会发展计划相适应”，这是对国家和社会而言的。第四十九条规定：“夫妻双方有实行计划生育的义务”，这是对家庭和夫妇而言的。</w:t>
            </w:r>
          </w:p>
          <w:p w14:paraId="3DA5945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textAlignment w:val="auto"/>
              <w:rPr>
                <w:rFonts w:hint="eastAsia" w:ascii="Times New Roman" w:hAnsi="Times New Roman"/>
                <w:b/>
                <w:color w:val="C00000"/>
                <w:sz w:val="28"/>
                <w:szCs w:val="28"/>
                <w:lang w:eastAsia="zh-CN"/>
              </w:rPr>
            </w:pPr>
            <w:r>
              <w:rPr>
                <w:rFonts w:hint="eastAsia" w:ascii="Times New Roman" w:hAnsi="Times New Roman"/>
                <w:b/>
                <w:color w:val="C00000"/>
                <w:sz w:val="28"/>
                <w:szCs w:val="28"/>
                <w:lang w:eastAsia="zh-CN"/>
              </w:rPr>
              <w:t>【拓展阅读】</w:t>
            </w:r>
          </w:p>
          <w:p w14:paraId="203353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Times New Roman" w:hAnsi="Times New Roman"/>
                <w:b/>
                <w:color w:val="000000" w:themeColor="text1"/>
                <w:sz w:val="28"/>
                <w:szCs w:val="28"/>
                <w:lang w:eastAsia="zh-CN"/>
                <w14:textFill>
                  <w14:solidFill>
                    <w14:schemeClr w14:val="tx1"/>
                  </w14:solidFill>
                </w14:textFill>
              </w:rPr>
            </w:pPr>
            <w:r>
              <w:rPr>
                <w:rFonts w:hint="eastAsia" w:ascii="Times New Roman" w:hAnsi="Times New Roman"/>
                <w:b/>
                <w:color w:val="000000" w:themeColor="text1"/>
                <w:sz w:val="28"/>
                <w:szCs w:val="28"/>
                <w:lang w:eastAsia="zh-CN"/>
                <w14:textFill>
                  <w14:solidFill>
                    <w14:schemeClr w14:val="tx1"/>
                  </w14:solidFill>
                </w14:textFill>
              </w:rPr>
              <w:t>关于性的几个不等式</w:t>
            </w:r>
          </w:p>
          <w:p w14:paraId="2F0019FB">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1. 性≠性行为</w:t>
            </w:r>
          </w:p>
          <w:p w14:paraId="4315A9B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一个人从呱呱坠地到白发苍苍的人生历程中，性都扮演着重要的角色。性不仅包含着个体性生理的发育过程、性心理的发生发展成熟过程；对于社会而言，性还是一种社会现象，我们每个人从出生就开始接受各种信息，在社会化的过程中逐步确认、认同自己的性别和性角色定位。</w:t>
            </w:r>
          </w:p>
          <w:p w14:paraId="56C6802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2. 性教育≠性解放</w:t>
            </w:r>
          </w:p>
          <w:p w14:paraId="417D2326">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性教育不仅是生殖健康与自我安全保护的教育，也是帮助大学生认识两性平等权利、建构和谐亲密关系的教育。通过性教育避免不安全的性行为，培育负责任的性态度，同时鼓励大学生不仅在性的方面，也在人生的其他方面做出负责任的决定。</w:t>
            </w:r>
          </w:p>
          <w:p w14:paraId="25E099FF">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3. 性教育越早≠发生性行为越早</w:t>
            </w:r>
          </w:p>
          <w:p w14:paraId="6864E288">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这可能是爸妈不和我们谈性的很重要的原因之一。很多研究表明，性教育的实施，会推迟性行为的发生，减少危险性行为，降低意外怀孕或感染性传播疾病的风险。</w:t>
            </w:r>
          </w:p>
          <w:p w14:paraId="2FF50FF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4. 性行为≠爱</w:t>
            </w:r>
          </w:p>
          <w:p w14:paraId="76FB7E79">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在爱情中，性是重要的组成部分。但性行为不等于爱，通过发生性行为来维系爱情、证明爱情、挽留爱情的方式都是不明智的。</w:t>
            </w:r>
          </w:p>
          <w:p w14:paraId="7B7891EE">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8"/>
                <w:szCs w:val="28"/>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0F432ED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F2C80C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638F21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ECD7DF3">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F072DD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EA970A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6EC53A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2A1FD6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841809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B247DF1">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64C3E4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F6C5E3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4D723E2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A207D5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3390E6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FA8E8A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A1401CC">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F4B6DB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A30F85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BD962D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5C88F2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D2BC5B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43EC29C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5F6410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CA0E5F8">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AA790C1">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22EFD35">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D9D97C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3360DA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292A5E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9123D0C">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4197A2BE">
            <w:pPr>
              <w:keepNext w:val="0"/>
              <w:keepLines w:val="0"/>
              <w:suppressLineNumbers w:val="0"/>
              <w:spacing w:before="0" w:beforeAutospacing="0" w:after="0" w:afterAutospacing="0" w:line="360" w:lineRule="auto"/>
              <w:ind w:left="0" w:right="0"/>
              <w:jc w:val="left"/>
              <w:rPr>
                <w:rFonts w:hint="default" w:ascii="Times New Roman" w:hAnsi="Times New Roman"/>
                <w:b/>
                <w:sz w:val="28"/>
                <w:szCs w:val="28"/>
              </w:rPr>
            </w:pPr>
            <w:r>
              <w:rPr>
                <w:rFonts w:hint="eastAsia" w:ascii="Times New Roman" w:hAnsi="Times New Roman"/>
                <w:b/>
                <w:sz w:val="28"/>
                <w:szCs w:val="28"/>
                <w:lang w:eastAsia="zh-CN"/>
              </w:rPr>
              <w:t>展示教学内容</w:t>
            </w:r>
            <w:r>
              <w:rPr>
                <w:rFonts w:hint="eastAsia" w:ascii="Times New Roman" w:hAnsi="Times New Roman"/>
                <w:b/>
                <w:sz w:val="28"/>
                <w:szCs w:val="28"/>
              </w:rPr>
              <w:t>，</w:t>
            </w:r>
            <w:r>
              <w:rPr>
                <w:rFonts w:hint="eastAsia" w:ascii="Times New Roman" w:hAnsi="Times New Roman"/>
                <w:b/>
                <w:sz w:val="28"/>
                <w:szCs w:val="28"/>
                <w:lang w:eastAsia="zh-CN"/>
              </w:rPr>
              <w:t>让学生更加仔细的阅读，从而</w:t>
            </w:r>
            <w:r>
              <w:rPr>
                <w:rFonts w:hint="eastAsia" w:ascii="Times New Roman" w:hAnsi="Times New Roman"/>
                <w:b/>
                <w:sz w:val="28"/>
                <w:szCs w:val="28"/>
              </w:rPr>
              <w:t>激发学生的学习欲望。</w:t>
            </w:r>
          </w:p>
        </w:tc>
      </w:tr>
      <w:tr w14:paraId="0887B5C1">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57F1970A">
            <w:pPr>
              <w:keepNext w:val="0"/>
              <w:keepLines w:val="0"/>
              <w:suppressLineNumbers w:val="0"/>
              <w:spacing w:before="0" w:beforeAutospacing="0" w:after="0" w:afterAutospacing="0" w:line="360" w:lineRule="auto"/>
              <w:ind w:left="0" w:right="0" w:hanging="8"/>
              <w:jc w:val="center"/>
              <w:rPr>
                <w:rFonts w:hint="default" w:ascii="Times New Roman" w:hAnsi="Times New Roman"/>
                <w:sz w:val="28"/>
                <w:szCs w:val="28"/>
              </w:rPr>
            </w:pPr>
            <w:r>
              <w:rPr>
                <w:rFonts w:hint="eastAsia" w:ascii="微软雅黑" w:hAnsi="微软雅黑" w:eastAsia="微软雅黑"/>
                <w:b/>
                <w:sz w:val="28"/>
                <w:szCs w:val="28"/>
                <w:lang w:eastAsia="zh-CN"/>
              </w:rPr>
              <w:t>作业布置</w:t>
            </w:r>
            <w:r>
              <w:rPr>
                <w:rFonts w:hint="eastAsia" w:ascii="Times New Roman" w:hAnsi="Times New Roman"/>
                <w:b w:val="0"/>
                <w:bCs w:val="0"/>
                <w:sz w:val="28"/>
                <w:szCs w:val="28"/>
              </w:rPr>
              <w:t>（</w:t>
            </w:r>
            <w:r>
              <w:rPr>
                <w:rFonts w:hint="eastAsia" w:ascii="Times New Roman" w:hAnsi="Times New Roman"/>
                <w:b w:val="0"/>
                <w:bCs w:val="0"/>
                <w:sz w:val="28"/>
                <w:szCs w:val="28"/>
                <w:lang w:val="en-US" w:eastAsia="zh-CN"/>
              </w:rPr>
              <w:t>3</w:t>
            </w:r>
            <w:r>
              <w:rPr>
                <w:rFonts w:hint="eastAsia" w:ascii="Times New Roman" w:hAnsi="Times New Roman"/>
                <w:b w:val="0"/>
                <w:bCs w:val="0"/>
                <w:sz w:val="28"/>
                <w:szCs w:val="28"/>
              </w:rPr>
              <w:t>min）</w:t>
            </w:r>
          </w:p>
        </w:tc>
        <w:tc>
          <w:tcPr>
            <w:tcW w:w="6676" w:type="dxa"/>
            <w:tcBorders>
              <w:tl2br w:val="nil"/>
              <w:tr2bl w:val="nil"/>
            </w:tcBorders>
            <w:vAlign w:val="center"/>
          </w:tcPr>
          <w:p w14:paraId="30B414A5">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8"/>
                <w:szCs w:val="28"/>
                <w:lang w:val="en-US" w:eastAsia="zh-CN" w:bidi="ar"/>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布置课后作业</w:t>
            </w:r>
          </w:p>
          <w:p w14:paraId="0EE787AC">
            <w:pPr>
              <w:keepNext w:val="0"/>
              <w:keepLines w:val="0"/>
              <w:suppressLineNumbers w:val="0"/>
              <w:spacing w:before="0" w:beforeAutospacing="0" w:after="0" w:afterAutospacing="0" w:line="360" w:lineRule="auto"/>
              <w:ind w:left="0" w:right="0" w:firstLine="560" w:firstLineChars="200"/>
              <w:rPr>
                <w:rFonts w:hint="eastAsia" w:hAnsi="宋体" w:eastAsia="宋体"/>
                <w:bCs/>
                <w:sz w:val="28"/>
                <w:szCs w:val="28"/>
                <w:lang w:eastAsia="zh-CN"/>
              </w:rPr>
            </w:pPr>
            <w:r>
              <w:rPr>
                <w:rFonts w:hint="eastAsia" w:hAnsi="宋体"/>
                <w:bCs/>
                <w:sz w:val="28"/>
                <w:szCs w:val="28"/>
                <w:lang w:eastAsia="zh-CN"/>
              </w:rPr>
              <w:t>简述计划生育的含义。</w:t>
            </w:r>
          </w:p>
        </w:tc>
        <w:tc>
          <w:tcPr>
            <w:tcW w:w="1650" w:type="dxa"/>
            <w:tcBorders>
              <w:tl2br w:val="nil"/>
              <w:tr2bl w:val="nil"/>
            </w:tcBorders>
            <w:vAlign w:val="center"/>
          </w:tcPr>
          <w:p w14:paraId="509DA77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r>
              <w:rPr>
                <w:rFonts w:hint="eastAsia" w:ascii="Times New Roman" w:hAnsi="Times New Roman"/>
                <w:b w:val="0"/>
                <w:bCs/>
                <w:sz w:val="28"/>
                <w:szCs w:val="28"/>
              </w:rPr>
              <w:t>通过课后练习，使学生巩固所学新知识</w:t>
            </w:r>
          </w:p>
        </w:tc>
      </w:tr>
      <w:tr w14:paraId="6135380F">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1957B25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r>
              <w:rPr>
                <w:rFonts w:hint="eastAsia" w:ascii="微软雅黑" w:hAnsi="微软雅黑" w:eastAsia="微软雅黑"/>
                <w:b/>
                <w:sz w:val="28"/>
                <w:szCs w:val="28"/>
                <w:lang w:eastAsia="zh-CN"/>
              </w:rPr>
              <w:t>知识讲解</w:t>
            </w:r>
          </w:p>
          <w:p w14:paraId="689D9AED">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Times New Roman"/>
                <w:sz w:val="28"/>
                <w:szCs w:val="28"/>
              </w:rPr>
              <w:t>（40</w:t>
            </w:r>
            <w:r>
              <w:rPr>
                <w:rFonts w:hint="eastAsia" w:ascii="Times New Roman" w:hAnsi="Times New Roman"/>
                <w:sz w:val="28"/>
                <w:szCs w:val="28"/>
              </w:rPr>
              <w:t>min）</w:t>
            </w:r>
          </w:p>
        </w:tc>
        <w:tc>
          <w:tcPr>
            <w:tcW w:w="6676" w:type="dxa"/>
            <w:tcBorders>
              <w:tl2br w:val="nil"/>
              <w:tr2bl w:val="nil"/>
            </w:tcBorders>
            <w:vAlign w:val="center"/>
          </w:tcPr>
          <w:p w14:paraId="7AFABAE8">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两性生殖系统与卫生保健</w:t>
            </w:r>
          </w:p>
          <w:p w14:paraId="7953F624">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一、女性的性生理</w:t>
            </w:r>
          </w:p>
          <w:p w14:paraId="002F4620">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女性的生殖器官分为外生殖器和内生殖器，外生殖器包括阴阜、大阴唇、小阴唇、阴蒂、前庭、前庭大腺、前庭球、尿道口、阴道口和处女膜。内生殖器包括卵巢、输卵管、子宫和阴道。女性乳房虽然不是专门的生殖器官，但其功能与生殖密切相关。</w:t>
            </w:r>
          </w:p>
          <w:p w14:paraId="6140C86D">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（一）外生殖器</w:t>
            </w:r>
          </w:p>
          <w:p w14:paraId="08E07D1B">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阴阜</w:t>
            </w:r>
          </w:p>
          <w:p w14:paraId="18E6C5EE">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阴阜是耻骨联合前丰满隆起的部分，阴毛下的柔软多肉组织，用以保护女性内生殖器。</w:t>
            </w:r>
          </w:p>
          <w:p w14:paraId="0438F719">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大阴唇</w:t>
            </w:r>
          </w:p>
          <w:p w14:paraId="2CC30BB8">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大阴唇为外阴两侧、靠近两股内侧的一对长圆形隆起的皮肤皱褶，内含大量脂肪、汗腺、神经末梢和血管。未经生产的女性两侧大阴唇自然合拢，遮盖阴道口及尿道口，经产妇的大阴唇由于分娩影响而向两侧分开。</w:t>
            </w:r>
          </w:p>
          <w:p w14:paraId="69FE288B">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 小阴唇</w:t>
            </w:r>
          </w:p>
          <w:p w14:paraId="108CC6D0">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小阴唇是在大阴唇的内侧的一对柔软黏膜皱褶皮肤，表面湿润。小阴唇黏膜下有丰富的神经分布，故感觉敏锐。</w:t>
            </w:r>
          </w:p>
          <w:p w14:paraId="64F0D623">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 阴蒂</w:t>
            </w:r>
          </w:p>
          <w:p w14:paraId="5C2228A2">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阴蒂位于大阴唇的前汇合点和小阴唇前端正中之间，被阴蒂包皮包绕。阴蒂海绵体也可充血而发生勃起，阴蒂头的神经末梢丰富，具有高度敏感性，易受刺激引起勃起，是性反应的重要结构。</w:t>
            </w:r>
          </w:p>
          <w:p w14:paraId="43A25893">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5. 前庭</w:t>
            </w:r>
          </w:p>
          <w:p w14:paraId="6526A81A">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两侧小阴唇所圈围的菱形区称前庭。表面有黏膜遮盖，近似一三角形，三角形的尖端是阴蒂，底边是阴唇系带，两边是小阴唇。前庭的前方有尿道口，后方有阴道口。</w:t>
            </w:r>
          </w:p>
          <w:p w14:paraId="6C43D656">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（二）内生殖器</w:t>
            </w:r>
            <w:r>
              <w:rPr>
                <w:rFonts w:hint="eastAsia" w:ascii="宋体" w:hAnsi="宋体" w:eastAsia="宋体" w:cs="宋体"/>
                <w:b w:val="0"/>
                <w:bCs/>
                <w:color w:val="000000"/>
                <w:kern w:val="2"/>
                <w:sz w:val="28"/>
                <w:szCs w:val="28"/>
                <w:lang w:val="en-US" w:eastAsia="zh-CN" w:bidi="ar"/>
              </w:rPr>
              <w:t xml:space="preserve"> </w:t>
            </w:r>
          </w:p>
          <w:p w14:paraId="3C1CAC5D">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卵巢</w:t>
            </w:r>
          </w:p>
          <w:p w14:paraId="6344E6E0">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卵巢是女性的性腺器官，成对位于子宫的两侧，可产生卵子和分泌性激素（雌激素、黄体酮）。出生时，女性卵巢含有数以万计的原始卵泡，卵泡从进入青春期后开始成熟，每个月排出一个成熟的卵子，至绝经后，卵巢逐渐萎缩。</w:t>
            </w:r>
          </w:p>
          <w:p w14:paraId="4ECF281B">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输卵管</w:t>
            </w:r>
          </w:p>
          <w:p w14:paraId="045127EF">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输卵管位于子宫两侧，是一对弯曲的喇叭状肌性管道，长约 10～13 cm，具有输送精子和卵子的功能。成熟的卵子从卵巢排出后，由输卵管的伞端，从腹腔内把它输入输卵管，如遇到精子就结合成为受精卵，由输卵管纤毛摆动送往子宫，在子宫腔内着床。如受精卵就地植入受精卵内膜，则形成宫外孕。</w:t>
            </w:r>
          </w:p>
          <w:p w14:paraId="6A6BDE3F">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 子宫</w:t>
            </w:r>
          </w:p>
          <w:p w14:paraId="4609A9BE">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子宫位于盆腔内呈倒置梨形，周围的韧带将其固定在盆腔内。子宫是受精卵（胚胎、胎儿）发育的场所，受精卵在这里着床，逐渐生长发育成成熟的胎儿，足月后，子宫收缩，娩出胎儿。女性从青春期到更年期期间，如果没有受孕，子宫内膜会在卵巢激素的作用下发生周期性变化及剥脱，产生月经。</w:t>
            </w:r>
          </w:p>
          <w:p w14:paraId="294FAF03">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 阴道</w:t>
            </w:r>
          </w:p>
          <w:p w14:paraId="3F0BCD06">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阴道是个前后扁平具有扩张性的肌性管腔，阴道接纳阴茎并存放精子，也是月经排出和胎儿娩出的通道。阴道分泌黏液以保持湿润，阴道壁脱落细胞混在分泌液中形成白带。</w:t>
            </w:r>
          </w:p>
          <w:p w14:paraId="2375EC10">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（三）乳房</w:t>
            </w:r>
          </w:p>
          <w:p w14:paraId="5C4C4842">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乳房从青春期开始发育生长，呈半球形，上有乳头和乳晕。妊娠期乳腺增生，具有分泌乳汁、哺育婴儿的功能。</w:t>
            </w:r>
          </w:p>
          <w:p w14:paraId="421B1A2A">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二、女性生殖系统的卫生保健</w:t>
            </w:r>
          </w:p>
          <w:p w14:paraId="1BF03910">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（一）每天坚持清洁外阴</w:t>
            </w:r>
          </w:p>
          <w:p w14:paraId="6D51D028">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女性每天都要产生一些分泌物，这些分泌物经微生物如霉菌、细菌、病毒污染，可以引起外阴的各种疾病，每天用温水清洗外阴，无须使用专门的清洁洗剂。注意清洗的顺序是从外阴往肛门，以免肛门的细菌污染阴道。</w:t>
            </w:r>
          </w:p>
          <w:p w14:paraId="0A1BD994">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（二）每月坚持做好经期保健</w:t>
            </w:r>
          </w:p>
          <w:p w14:paraId="677753A1">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女性每个月中最该注意的事情就是经期卫生，经期保健，如注意保暖、保持外阴部的清洁卫生、不洗盆浴、禁止性生活、注意劳逸结合、不宜参加重体力劳动和剧烈运动、忌食生冷刺激性食物、保持精神愉快等。</w:t>
            </w:r>
          </w:p>
          <w:p w14:paraId="14388E4B">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（三）注意乳房卫生与自检</w:t>
            </w:r>
          </w:p>
          <w:p w14:paraId="38C049D9">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选择合适的胸罩。合适的胸罩以个人感受到不松不紧为宜；胸罩最好使用棉布之类柔软的透气材质。晚上睡觉时，一定要把胸罩取下，更有利于血液循环。</w:t>
            </w:r>
          </w:p>
          <w:p w14:paraId="7D9B7AA3">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（四）每年坚持做一次妇科体检，包括盆腔和乳房</w:t>
            </w:r>
          </w:p>
          <w:p w14:paraId="75189F5F">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做到无病早防，有病早治。</w:t>
            </w:r>
          </w:p>
          <w:p w14:paraId="3EF21EE5">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三、男性的性生理</w:t>
            </w:r>
          </w:p>
          <w:p w14:paraId="79D88D62">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男性的生殖器官分为外生殖器和内生殖器，外生殖器包括阴茎、阴囊；内生殖器包括睾丸、输精管道（附睾、输精管、射精管、尿道）、附属腺（精囊腺、前列腺、尿道球腺）。</w:t>
            </w:r>
          </w:p>
          <w:p w14:paraId="4D2EDB5E">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（一）阴茎</w:t>
            </w:r>
          </w:p>
          <w:p w14:paraId="5FEBACFD">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阴茎呈圆柱形，由两个阴茎海绵体和一个尿道海绵体，外面包以筋膜和皮肤而构成。海绵体的内部有许多网样腔隙，内有丰富的血管和神经。当海绵体充血时，阴茎膨胀且坚硬，当海绵体不充血时，阴茎恢复到松弛状态。阴茎前端尿道海绵体膨大形成阴茎头（即龟头），底边有冠状峪（阴茎头冠）。阴茎头的神经末梢非常丰富，对触摸刺激异常敏感。阴茎头冠处皮肤形成环形皱襞，包绕阴茎头，成为包皮。阴茎头部是尿道外口，是尿液和精液排出体外的共同开口。</w:t>
            </w:r>
          </w:p>
          <w:p w14:paraId="52E7E93E">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（二）阴囊</w:t>
            </w:r>
          </w:p>
          <w:p w14:paraId="42FF8D3C">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阴囊是容纳睾丸的袋样结构。阴囊皮肤含有丰富的血管和汗腺，并有明显的色素沉淀。阴囊壁内有大量平滑肌纤维，对外界温度变化敏感，通过与提睾肌作用，调节阴囊皮肤收缩和松弛，适应精子的生存和发育。当体温升高时，阴囊舒张；当体温降低时，阴囊收缩。</w:t>
            </w:r>
          </w:p>
          <w:p w14:paraId="5AFBE777">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（三）睾丸</w:t>
            </w:r>
          </w:p>
          <w:p w14:paraId="7DF59E76">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睾丸呈卵圆形，成对位于阴囊内。睾丸是男性的性腺，具有产生精子和分泌雄激素的双重功能，是完成男性生殖功能的主要器官。睾丸内有精曲小管，精曲小管上皮产生精子，精曲小管间质细胞分泌雄激素。</w:t>
            </w:r>
          </w:p>
          <w:p w14:paraId="1B3EA871">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（四）输精管道</w:t>
            </w:r>
          </w:p>
          <w:p w14:paraId="72C87CC2">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输精管道由附睾、输精管、射精管组成。附睾具有精子储存、运输和成熟的功能。附睾尾部连接输精管，输精管长约 40 cm，能运输和储存成熟精子，其末端变细，与精囊腺的排泄管合成射精管。射精管长约 2 cm，穿通前列腺实质，开口于尿道前列腺部。</w:t>
            </w:r>
          </w:p>
          <w:p w14:paraId="484B47F8">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（五）附属腺</w:t>
            </w:r>
          </w:p>
          <w:p w14:paraId="571165B7">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精囊腺分泌黏稠的蛋白质液，为精子运动提供能量。前列腺分泌乳白色的浆性液体，是精液的主要成分。前列腺环绕尿道，当前列腺增生时，往往压迫尿道，引起排尿困难。尿道球腺在性兴奋时分泌少量透明黏稠的液体，在射精前流出，具有中和尿道酸性以利于精子生存的功能。</w:t>
            </w:r>
          </w:p>
          <w:p w14:paraId="160B3A10">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四、男性生殖系统的卫生保健</w:t>
            </w:r>
          </w:p>
          <w:p w14:paraId="18ED7691">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（一）注意外阴卫生</w:t>
            </w:r>
          </w:p>
          <w:p w14:paraId="6841898C">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阴囊、阴茎皮肤皱褶多，汗腺发达，分泌旺盛，过多的汗液和残留的尿液及肛门部位的脏物均会污染阴囊、阴茎和会阴部。内裤或外裤过紧会导致局部通风不畅，极有利于细菌、真菌等厌氧喜湿微生物的繁殖。</w:t>
            </w:r>
          </w:p>
          <w:p w14:paraId="5FC9AC63">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所以男性应当经常注意清洗外阴，清洗的顺序是先洗生殖器官，再洗肛门，洗过肛门后的水不要再去清洗生殖器官，更不能用洗脸水、洗脚水来洗生殖器官。洗外阴的毛巾应单独使用，不能用擦脚毛巾擦洗生殖器官，以防止脚上的细菌、霉菌等污染会阴部。</w:t>
            </w:r>
          </w:p>
          <w:p w14:paraId="1A017380">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（二）注意保护外阴</w:t>
            </w:r>
          </w:p>
          <w:p w14:paraId="33B52433">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睾丸是非常娇嫩的器官，对外力极为敏感。当男性的外阴受到外力的冲击时，就会感到疼痛难忍，重者可昏厥。因此，男性在日常生活中要注意保护外阴，特别是在参加运动时，应尽量防止受到外力的冲撞和挤压。</w:t>
            </w:r>
          </w:p>
          <w:p w14:paraId="1CDC50F0">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如发生睾丸受伤的情况，损伤轻者，应及时站起来蹦跳，让因受刺激上缩的睾丸迅速回降到原来的位置；如阴囊和睾丸受到严重撞击，或睾丸被快速、强大外力直接打击，局部肿胀，疼痛难忍或尿中带血等，应立即到医院救治。</w:t>
            </w:r>
          </w:p>
          <w:p w14:paraId="095E98D8">
            <w:pPr>
              <w:keepNext w:val="0"/>
              <w:keepLines w:val="0"/>
              <w:widowControl w:val="0"/>
              <w:suppressLineNumbers w:val="0"/>
              <w:autoSpaceDE w:val="0"/>
              <w:autoSpaceDN/>
              <w:spacing w:before="0" w:beforeAutospacing="0" w:after="0" w:afterAutospacing="0" w:line="360" w:lineRule="auto"/>
              <w:ind w:left="0" w:leftChars="0" w:right="0" w:rightChars="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w:t>
            </w:r>
            <w:r>
              <w:rPr>
                <w:rFonts w:hint="eastAsia" w:ascii="宋体" w:hAnsi="宋体" w:cs="宋体"/>
                <w:b/>
                <w:bCs w:val="0"/>
                <w:color w:val="C00000"/>
                <w:kern w:val="2"/>
                <w:sz w:val="28"/>
                <w:szCs w:val="28"/>
                <w:lang w:val="en-US" w:eastAsia="zh-CN" w:bidi="ar"/>
              </w:rPr>
              <w:t>小贴士</w:t>
            </w:r>
            <w:r>
              <w:rPr>
                <w:rFonts w:hint="eastAsia" w:ascii="宋体" w:hAnsi="宋体" w:eastAsia="宋体" w:cs="宋体"/>
                <w:b/>
                <w:bCs w:val="0"/>
                <w:color w:val="C00000"/>
                <w:kern w:val="2"/>
                <w:sz w:val="28"/>
                <w:szCs w:val="28"/>
                <w:lang w:val="en-US" w:eastAsia="zh-CN" w:bidi="ar"/>
              </w:rPr>
              <w:t>】</w:t>
            </w:r>
          </w:p>
          <w:p w14:paraId="6690F9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外阴的颜色是基因赋予女性独一无二的底色，雌激素促使女性的外阴长毛、色素沉着。外阴颜色和性行为次数的关系非常小，通过外阴颜色推断性经历的说法没有科学依据，各类“私处美白”产品也不一定靠谱。</w:t>
            </w:r>
          </w:p>
          <w:p w14:paraId="7A9A206C">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 w:val="28"/>
                <w:szCs w:val="28"/>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12F97E72">
            <w:pPr>
              <w:keepNext w:val="0"/>
              <w:keepLines w:val="0"/>
              <w:suppressLineNumbers w:val="0"/>
              <w:spacing w:before="0" w:beforeAutospacing="0" w:after="0" w:afterAutospacing="0" w:line="360" w:lineRule="auto"/>
              <w:ind w:left="0" w:right="0"/>
              <w:jc w:val="left"/>
              <w:rPr>
                <w:rFonts w:hint="default" w:ascii="Times New Roman" w:hAnsi="Times New Roman"/>
                <w:b/>
                <w:sz w:val="28"/>
                <w:szCs w:val="28"/>
              </w:rPr>
            </w:pPr>
            <w:r>
              <w:rPr>
                <w:rFonts w:hint="eastAsia" w:ascii="Times New Roman" w:hAnsi="Times New Roman"/>
                <w:b/>
                <w:sz w:val="28"/>
                <w:szCs w:val="28"/>
              </w:rPr>
              <w:t>通过教师讲解，了解说明两性生殖系统与卫生保健的基本理论知识。</w:t>
            </w:r>
          </w:p>
        </w:tc>
      </w:tr>
      <w:tr w14:paraId="2B2101A0">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76256885">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3A3AFE5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w:t>
            </w:r>
            <w:r>
              <w:rPr>
                <w:rFonts w:hint="eastAsia" w:ascii="Times New Roman" w:hAnsi="Times New Roman" w:cs="Times New Roman"/>
                <w:kern w:val="2"/>
                <w:sz w:val="28"/>
                <w:szCs w:val="28"/>
                <w:lang w:val="en-US" w:eastAsia="zh-CN" w:bidi="ar"/>
              </w:rPr>
              <w:t>3</w:t>
            </w:r>
            <w:r>
              <w:rPr>
                <w:rFonts w:hint="default" w:ascii="Times New Roman" w:hAnsi="Times New Roman" w:eastAsia="宋体" w:cs="Times New Roman"/>
                <w:kern w:val="2"/>
                <w:sz w:val="28"/>
                <w:szCs w:val="28"/>
                <w:lang w:val="en-US" w:eastAsia="zh-CN" w:bidi="ar"/>
              </w:rPr>
              <w:t>min</w:t>
            </w:r>
            <w:r>
              <w:rPr>
                <w:rFonts w:hint="eastAsia" w:ascii="宋体" w:hAnsi="宋体" w:eastAsia="宋体" w:cs="宋体"/>
                <w:kern w:val="2"/>
                <w:sz w:val="28"/>
                <w:szCs w:val="28"/>
                <w:lang w:val="en-US" w:eastAsia="zh-CN" w:bidi="ar"/>
              </w:rPr>
              <w:t>）</w:t>
            </w:r>
          </w:p>
        </w:tc>
        <w:tc>
          <w:tcPr>
            <w:tcW w:w="6676" w:type="dxa"/>
            <w:tcBorders>
              <w:tl2br w:val="nil"/>
              <w:tr2bl w:val="nil"/>
            </w:tcBorders>
            <w:vAlign w:val="center"/>
          </w:tcPr>
          <w:p w14:paraId="10C1C9C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3CA84E94">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两性生殖系统与卫生保健</w:t>
            </w:r>
            <w:r>
              <w:rPr>
                <w:rFonts w:hint="eastAsia" w:ascii="宋体" w:hAnsi="宋体" w:cs="宋体"/>
                <w:b/>
                <w:bCs w:val="0"/>
                <w:kern w:val="0"/>
                <w:sz w:val="28"/>
                <w:szCs w:val="28"/>
                <w:lang w:val="en-US" w:eastAsia="zh-CN" w:bidi="ar"/>
              </w:rPr>
              <w:t>，让学生知道大学生进行卫生保健的方式。</w:t>
            </w:r>
          </w:p>
        </w:tc>
        <w:tc>
          <w:tcPr>
            <w:tcW w:w="1650" w:type="dxa"/>
            <w:tcBorders>
              <w:tl2br w:val="nil"/>
              <w:tr2bl w:val="nil"/>
            </w:tcBorders>
            <w:vAlign w:val="center"/>
          </w:tcPr>
          <w:p w14:paraId="0DB8965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370BBFBB">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6B03756E">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b w:val="0"/>
                <w:bCs w:val="0"/>
                <w:kern w:val="2"/>
                <w:sz w:val="28"/>
                <w:szCs w:val="28"/>
                <w:lang w:val="en-US" w:eastAsia="zh-CN" w:bidi="ar"/>
              </w:rPr>
              <w:t>（</w:t>
            </w:r>
            <w:r>
              <w:rPr>
                <w:rFonts w:hint="eastAsia" w:ascii="Times New Roman" w:hAnsi="Times New Roman" w:cs="Times New Roman"/>
                <w:b w:val="0"/>
                <w:bCs w:val="0"/>
                <w:kern w:val="2"/>
                <w:sz w:val="28"/>
                <w:szCs w:val="28"/>
                <w:lang w:val="en-US" w:eastAsia="zh-CN" w:bidi="ar"/>
              </w:rPr>
              <w:t>2</w:t>
            </w:r>
            <w:r>
              <w:rPr>
                <w:rFonts w:hint="default" w:ascii="Times New Roman" w:hAnsi="Times New Roman" w:eastAsia="宋体" w:cs="Times New Roman"/>
                <w:b w:val="0"/>
                <w:bCs w:val="0"/>
                <w:kern w:val="2"/>
                <w:sz w:val="28"/>
                <w:szCs w:val="28"/>
                <w:lang w:val="en-US" w:eastAsia="zh-CN" w:bidi="ar"/>
              </w:rPr>
              <w:t>min</w:t>
            </w:r>
            <w:r>
              <w:rPr>
                <w:rFonts w:hint="eastAsia" w:ascii="宋体" w:hAnsi="宋体" w:eastAsia="宋体" w:cs="宋体"/>
                <w:b w:val="0"/>
                <w:bCs w:val="0"/>
                <w:kern w:val="2"/>
                <w:sz w:val="28"/>
                <w:szCs w:val="28"/>
                <w:lang w:val="en-US" w:eastAsia="zh-CN" w:bidi="ar"/>
              </w:rPr>
              <w:t>）</w:t>
            </w:r>
          </w:p>
        </w:tc>
        <w:tc>
          <w:tcPr>
            <w:tcW w:w="6676" w:type="dxa"/>
            <w:tcBorders>
              <w:tl2br w:val="nil"/>
              <w:tr2bl w:val="nil"/>
            </w:tcBorders>
            <w:vAlign w:val="center"/>
          </w:tcPr>
          <w:p w14:paraId="1905AA0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布置课后作业</w:t>
            </w:r>
          </w:p>
          <w:p w14:paraId="481F228E">
            <w:pPr>
              <w:keepNext w:val="0"/>
              <w:keepLines w:val="0"/>
              <w:widowControl w:val="0"/>
              <w:suppressLineNumbers w:val="0"/>
              <w:spacing w:before="0" w:beforeAutospacing="0" w:after="0" w:afterAutospacing="0" w:line="360" w:lineRule="auto"/>
              <w:ind w:left="0" w:leftChars="0" w:right="0" w:rightChars="0" w:firstLine="560" w:firstLineChars="200"/>
              <w:jc w:val="both"/>
              <w:rPr>
                <w:rFonts w:hint="eastAsia" w:ascii="Calibri" w:hAnsi="宋体" w:eastAsia="宋体" w:cs="Times New Roman"/>
                <w:bCs/>
                <w:kern w:val="2"/>
                <w:sz w:val="28"/>
                <w:szCs w:val="28"/>
                <w:lang w:val="en-US" w:eastAsia="zh-CN" w:bidi="ar-SA"/>
              </w:rPr>
            </w:pPr>
            <w:r>
              <w:rPr>
                <w:rFonts w:hint="eastAsia" w:ascii="宋体" w:hAnsi="宋体" w:cs="宋体"/>
                <w:bCs/>
                <w:kern w:val="2"/>
                <w:sz w:val="28"/>
                <w:szCs w:val="28"/>
                <w:lang w:val="en-US" w:eastAsia="zh-CN" w:bidi="ar"/>
              </w:rPr>
              <w:t>简述男性生殖系统的卫生保健。</w:t>
            </w:r>
          </w:p>
        </w:tc>
        <w:tc>
          <w:tcPr>
            <w:tcW w:w="1650" w:type="dxa"/>
            <w:tcBorders>
              <w:tl2br w:val="nil"/>
              <w:tr2bl w:val="nil"/>
            </w:tcBorders>
            <w:vAlign w:val="center"/>
          </w:tcPr>
          <w:p w14:paraId="25219D97">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val="0"/>
                <w:bCs/>
                <w:kern w:val="2"/>
                <w:sz w:val="28"/>
                <w:szCs w:val="28"/>
                <w:lang w:val="en-US" w:eastAsia="zh-CN" w:bidi="ar"/>
              </w:rPr>
              <w:t>通过课后练习，使学生巩固所学新知识</w:t>
            </w:r>
          </w:p>
        </w:tc>
      </w:tr>
      <w:tr w14:paraId="0D6DF774">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4A61B6D2">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8"/>
                <w:szCs w:val="28"/>
              </w:rPr>
            </w:pPr>
            <w:r>
              <w:rPr>
                <w:rFonts w:hint="eastAsia" w:ascii="微软雅黑" w:hAnsi="微软雅黑" w:eastAsia="微软雅黑"/>
                <w:b/>
                <w:sz w:val="28"/>
                <w:szCs w:val="28"/>
                <w:lang w:eastAsia="zh-CN"/>
              </w:rPr>
              <w:t>知识讲解</w:t>
            </w:r>
            <w:r>
              <w:rPr>
                <w:rFonts w:hint="default" w:ascii="Times New Roman" w:hAnsi="Times New Roman"/>
                <w:sz w:val="28"/>
                <w:szCs w:val="28"/>
              </w:rPr>
              <w:t>（45</w:t>
            </w:r>
            <w:r>
              <w:rPr>
                <w:rFonts w:hint="eastAsia" w:ascii="Times New Roman" w:hAnsi="Times New Roman"/>
                <w:sz w:val="28"/>
                <w:szCs w:val="28"/>
              </w:rPr>
              <w:t>min</w:t>
            </w:r>
            <w:r>
              <w:rPr>
                <w:rFonts w:hint="default" w:ascii="Times New Roman" w:hAnsi="Times New Roman"/>
                <w:sz w:val="28"/>
                <w:szCs w:val="28"/>
              </w:rPr>
              <w:t>）</w:t>
            </w:r>
          </w:p>
        </w:tc>
        <w:tc>
          <w:tcPr>
            <w:tcW w:w="6676" w:type="dxa"/>
            <w:tcBorders>
              <w:tl2br w:val="nil"/>
              <w:tr2bl w:val="nil"/>
            </w:tcBorders>
            <w:vAlign w:val="center"/>
          </w:tcPr>
          <w:p w14:paraId="0F9CD9A0">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生殖系统健康问题的预防与识别</w:t>
            </w:r>
          </w:p>
          <w:p w14:paraId="29E6A8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一、安全性行为</w:t>
            </w:r>
          </w:p>
          <w:p w14:paraId="790956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1980 年年末，安全性行为因艾滋病而广受关注。狭义的安全性行为指减低性病感染风险的性行为；广义的安全性行为是指一套设计来保持人们身心健康的性行为做法，还包括进行性行为的人的心理状况、进行性行为的环境等。</w:t>
            </w:r>
          </w:p>
          <w:p w14:paraId="5A7D7E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安全性行为主要包括洁身自好，节制欲望和自慰行为；在性交过程中坚持正确使用避孕套；采用非插入性的性活动方式，如接吻、拥抱、抚摸；避免与不熟悉的临时性伴侣发生性行为，避免与多个性伴侣发生性关系，避免不加保护的性行为等危险性行为。</w:t>
            </w:r>
          </w:p>
          <w:p w14:paraId="0D77AB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相对的，不安全的性行为就是指未使用避孕措施、在身心状况不健康的情况下进行的性行为。危险性行为（无保护性行为）是指在性生活过程中能够引起双方血液及体液交换的性行为。其中肛交是传播艾滋病最危险的不安全性行为。</w:t>
            </w:r>
          </w:p>
          <w:p w14:paraId="7A6587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二、性传播疾病</w:t>
            </w:r>
          </w:p>
          <w:p w14:paraId="669CCC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（一）性传播疾病概念</w:t>
            </w:r>
          </w:p>
          <w:p w14:paraId="22885B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性传播疾病是指通过性行为接触或类似性行为接触可以传染的严重危害身心健康的传染性疾病，包容的病种 20 余种，包括艾滋病、尖锐湿疣、非淋菌性尿道炎、细菌性阴道炎、性病性盆腔炎、生殖器疱疹、阴虱病、乙型肝炎等。</w:t>
            </w:r>
          </w:p>
          <w:p w14:paraId="289812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我国要求重点防治的八种性传播疾病是梅毒、淋病、软下疳、性病性淋巴肉芽肿、生殖道沙眼衣原体感染、尖锐湿疣、生殖器疱疹、艾滋病。</w:t>
            </w:r>
          </w:p>
          <w:p w14:paraId="56CB52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（二）传染源</w:t>
            </w:r>
          </w:p>
          <w:p w14:paraId="7C00E8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性病病人及其病原携带者是性传播疾病的主要传染源。性病病人有典型症状、体征，在生殖器损伤部位形成含有病原体的特有病变：黏膜病变出现浅表性炎症，及黏膜深部病变形成糜烂和溃疡，表面含有大量病原体的分泌物。</w:t>
            </w:r>
          </w:p>
          <w:p w14:paraId="10BB8F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（三）性传播疾病的传播方式</w:t>
            </w:r>
          </w:p>
          <w:p w14:paraId="3CF9A4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性途径传播</w:t>
            </w:r>
          </w:p>
          <w:p w14:paraId="1D4D0F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性行为的直接接触是主要的传播途径，包括接吻、触摸在内的性行为均可传播。如艾滋病病毒、支原体、衣原体、阴道滴虫等多种病原体可存在于阴道分泌液和精液中，性伙伴一方患病就能通过性行为传染给对方，而梅毒、生殖器疱疹、软下疳的病原体虽不存在于精液中，但可通过皮肤黏膜的直接接触传染对方。</w:t>
            </w:r>
          </w:p>
          <w:p w14:paraId="518209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非性接触传播</w:t>
            </w:r>
          </w:p>
          <w:p w14:paraId="75006D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性病患者的分泌物中有大量病原体，间接接触被病原携带者或病人泌尿生殖道分泌物污染的衣服、用具、物品、被褥、便器等也可能被感染。如淋病、滴虫病、某些真菌感染等性传播疾病可通过毛巾、浴盆、衣物等用品传播，在一些文化、卫生水平较低的地区，浴池也是常见的传播场所。</w:t>
            </w:r>
          </w:p>
          <w:p w14:paraId="6F740A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 血源传播</w:t>
            </w:r>
          </w:p>
          <w:p w14:paraId="375D2C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艾滋病、梅毒、淋病、乙型肝炎、巨细胞病毒感染均可通过输血传播，其传染机率一般可高达 95% 以上。</w:t>
            </w:r>
          </w:p>
          <w:p w14:paraId="4A03D9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 母婴传播</w:t>
            </w:r>
          </w:p>
          <w:p w14:paraId="722E53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母婴传播主要有胎内感染、产道感染、产后感染三种方式。许多性传播疾病如梅毒、艾滋病、乙型肝炎、尖锐湿疣等可通过胎盘传染胎儿，造成胎内感染。如梅毒经胎盘感染可引起胎儿流产、早产、死胎或出生后死亡，即使婴儿存活，也常出现畸形、智力低下等疾病。一些 STD 虽不能经胎盘传染，但胎儿通过产道时，可以发生感染，例如艾滋病、新生儿淋菌性眼炎、非淋菌性婴儿结膜炎等。产后哺乳和母婴间密切接触可引起婴儿感染，如果母亲为 HIV 感染者，通过哺乳可导致婴儿感染。</w:t>
            </w:r>
          </w:p>
          <w:p w14:paraId="3AFA65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5. 医源性传播</w:t>
            </w:r>
          </w:p>
          <w:p w14:paraId="365537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防护不严格、医疗操作所用器械消毒不严格，可造成医源性感染。主要是未消毒或消毒不彻底的注射器、手术器械，以及刺破皮肤或黏膜的其他医疗器械，造成病人之间、医患之间的传播，特别是艾滋病、乙型肝炎和丙型肝炎的传播。</w:t>
            </w:r>
          </w:p>
          <w:p w14:paraId="70EFE7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6. 人工授精、器官移植及性暴力</w:t>
            </w:r>
          </w:p>
          <w:p w14:paraId="62680A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人工授精和器官移植可能染上性传播疾病，一些受害者被强暴后会染上性传播疾病。</w:t>
            </w:r>
          </w:p>
          <w:p w14:paraId="1967B7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三、性传播疾病的危害与预防</w:t>
            </w:r>
          </w:p>
          <w:p w14:paraId="1C47FC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（一）性传播疾病的危害</w:t>
            </w:r>
          </w:p>
          <w:p w14:paraId="348D71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性传播疾病不仅给患者造成不同程度的身体损伤，同时带来精神痛苦，还给配偶、子女、家庭带来不幸，无疑会给社会和国家造成严重损失。</w:t>
            </w:r>
          </w:p>
          <w:p w14:paraId="6AF6C7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对个人身心健康的影响</w:t>
            </w:r>
          </w:p>
          <w:p w14:paraId="3BE19A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性病患者不仅承受身体上的病痛，还要承受经济负担、来自家人、朋友、同事的社会舆论压力。若患者羞于启齿延误及时、正确的治疗，会造成严重的并发症和后遗症。如尖锐湿疣、生殖器疱疹等均可引起癌变。</w:t>
            </w:r>
          </w:p>
          <w:p w14:paraId="4F24E4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危害他人与社会</w:t>
            </w:r>
          </w:p>
          <w:p w14:paraId="45B9B7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性传播疾病传染性强，配偶或性伙伴以及密切接触者都处于危险之中，常发生家庭中传播，影响家庭稳定；部分患者产生报复心理也会成为社会的不稳定因素；高昂的医疗费用和劳动力丧失给家庭和社会带来沉重的经济负担。</w:t>
            </w:r>
          </w:p>
          <w:p w14:paraId="5C0CD8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 影响下一代</w:t>
            </w:r>
          </w:p>
          <w:p w14:paraId="0881F7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一些性传播疾病可通过垂直感染和间接接触传染给婴幼儿，直接影响到婴幼儿的健康发育和成长。如梅毒可通过胎盘传给胎儿，发生流产、死产、先天性畸形；HIV 母婴传播的机率约 30%，受染婴儿寿命通常在 5 年以内。</w:t>
            </w:r>
          </w:p>
          <w:p w14:paraId="7B327D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（二）预防性传播疾病</w:t>
            </w:r>
          </w:p>
          <w:p w14:paraId="7177B0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我国《性病防治管理办法》中明确指出，实行预防为主、防治结合、综合治理的方针。</w:t>
            </w:r>
          </w:p>
          <w:p w14:paraId="11C449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普及防治知识</w:t>
            </w:r>
          </w:p>
          <w:p w14:paraId="46CF05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重视性知识教育，提高预防知识，普及卫生知识，通过健康教育使人们充分认识到性传播疾病的危害性和可预防性，提高自我保护意识。</w:t>
            </w:r>
          </w:p>
          <w:p w14:paraId="70B3B6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严禁高危性行为</w:t>
            </w:r>
          </w:p>
          <w:p w14:paraId="391F30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不良的性习惯易传染性传播疾病，应避免同属于高危险人群的人发生性行为。对拒绝改变高危性行为的人，每次性交都必须正确使用避孕套。</w:t>
            </w:r>
          </w:p>
          <w:p w14:paraId="60DC3F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 定期体检</w:t>
            </w:r>
          </w:p>
          <w:p w14:paraId="00E638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性传播疾病感染检查非常重要，艾滋病、梅毒、乙肝等已纳入婚检、妊娠期检查的体检项目。</w:t>
            </w:r>
          </w:p>
          <w:p w14:paraId="3E6D2C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 切断性接触以外的其他传播途径</w:t>
            </w:r>
          </w:p>
          <w:p w14:paraId="4FEF8A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严格保证血液及血液制品安全可靠，不受污染。为了防止母婴传播，患有STD 的妇女在彻底治愈前，应避免妊娠，已经妊娠的要及时进行彻底治疗和向医生咨询。</w:t>
            </w:r>
          </w:p>
          <w:p w14:paraId="56CFD5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5. 预防接种</w:t>
            </w:r>
          </w:p>
          <w:p w14:paraId="757D14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目前绝大部分性传播疾病没有疫苗可以应用。</w:t>
            </w:r>
          </w:p>
          <w:p w14:paraId="7F5E50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四、艾滋病</w:t>
            </w:r>
          </w:p>
          <w:p w14:paraId="4B9BEA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艾滋病（获得性免疫缺陷综合征，Acquired Immune Deficiency Syndrome，AIDS）是由人类免疫缺陷病毒（Human Immunodeficiency Virus，HIV）引起的恶性传染病。HIV 进入人体后，主要侵犯人体的免疫系统，破坏免疫功能，从而导致一系列致病菌感染和罕见肿瘤的发生，病死率高。</w:t>
            </w:r>
          </w:p>
          <w:p w14:paraId="3AA46E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（一）传播途径</w:t>
            </w:r>
          </w:p>
          <w:p w14:paraId="672C1F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HIV 病毒主要存在于 HIV 携带者和艾滋病患者的体液中，包括血液、精液、乳液、阴道分泌液等，任何引起体液交换的行为，都有传播 HIV 的可能。</w:t>
            </w:r>
          </w:p>
          <w:p w14:paraId="771AAC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血液传播</w:t>
            </w:r>
          </w:p>
          <w:p w14:paraId="5EB3C0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接受被 HIV 病毒感染的血液或血制品，静脉注射吸毒，移植 HIV 病毒感染者或艾滋病患者的组织器官都有感染 HIV 的危险。</w:t>
            </w:r>
          </w:p>
          <w:p w14:paraId="545FBE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性接触传播</w:t>
            </w:r>
          </w:p>
          <w:p w14:paraId="208A29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同性或异性之间的性接触都会导致艾滋病的传播。与 HIV 病毒携带者或艾滋病患者发生性行为（包括性交、肛交、口交及口腔黏膜破损时的深吻等），可通过体液交换而被感染。</w:t>
            </w:r>
          </w:p>
          <w:p w14:paraId="263536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 母婴传播</w:t>
            </w:r>
          </w:p>
          <w:p w14:paraId="46608E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又称垂直传播。感染了 HIV 的孕妇能够通过胎盘将 HIV 病毒直接传染给胎儿，通过产道和产后哺乳也能感染新生儿。</w:t>
            </w:r>
          </w:p>
          <w:p w14:paraId="3C4DF1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（二）艾滋病高危人群</w:t>
            </w:r>
          </w:p>
          <w:p w14:paraId="6EC149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多性伴侣、同性恋、卖淫嫖娼者、共用针具脉注吸毒者等，都是感染艾滋病的高危人群。</w:t>
            </w:r>
          </w:p>
          <w:p w14:paraId="135B40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（三）艾滋病的症状</w:t>
            </w:r>
          </w:p>
          <w:p w14:paraId="208318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参照 2015 年中华医学会制定的第三版《艾滋病诊疗指南》，将艾滋病的全过程分为急性期、无症状期和艾滋病期。</w:t>
            </w:r>
          </w:p>
          <w:p w14:paraId="3D1B37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急性期</w:t>
            </w:r>
          </w:p>
          <w:p w14:paraId="5EFEB1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通常发生在初次感染 HIV 后 2～4 周内。部分感染者出现病毒血症和免疫系统急性损伤所产生的临床症状。大多数患者临床症状轻微，持续 1～3 周后缓解。临床表现以发热常见，可伴有咽痛、盗汗、恶心、呕吐、腹泻、皮疹、关节痛、淋巴结肿大及神经系统症状。</w:t>
            </w:r>
          </w:p>
          <w:p w14:paraId="15FF57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无症状期</w:t>
            </w:r>
          </w:p>
          <w:p w14:paraId="3909A2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可从急性期进入此期，或无明显的急性期症状而直接进入此期。此期持续时间一般为 6～8 年。其时间长短与感染病毒的数量、型别，感染途径、机体免疫状况的个体差异、营养条件及生活习惯等因素有关。在无症状期，由于 HIV 在感染者体内不断复制，免疫系统受损，CD4 +T 淋巴细胞计数逐渐下降，同时具有传染性。</w:t>
            </w:r>
          </w:p>
          <w:p w14:paraId="640B73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 艾滋病期</w:t>
            </w:r>
          </w:p>
          <w:p w14:paraId="43D581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此期为感染 HIV 后的最终阶段。患者 CD4 +T 淋巴细胞计数明显下降，血浆 HIV 载量明显升高。此期主要临床表现为 HIV 相关症状、各种机会性感染及肿瘤。</w:t>
            </w:r>
          </w:p>
          <w:p w14:paraId="3EFA92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（1）HIV 相关症状：1 个月以上的发热、腹泻、体重急速下降、淋巴结肿大等。</w:t>
            </w:r>
          </w:p>
          <w:p w14:paraId="539B29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（2）机会性感染：肺孢子菌、隐球菌、结核菌、念珠菌、带状疱疹病毒感染等。</w:t>
            </w:r>
          </w:p>
          <w:p w14:paraId="2F1FE0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（3）肿瘤：恶性淋巴瘤、卡波西肉瘤、皮肤癌等。</w:t>
            </w:r>
          </w:p>
          <w:p w14:paraId="612B33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（四）治疗与预防艾滋病</w:t>
            </w:r>
          </w:p>
          <w:p w14:paraId="45F159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为了预防艾滋病的流行，我国对艾滋病患者实行免费治疗。但就目前来说，艾滋病是无法治愈的，但接受持续终生的“高效联合抗反转录病毒治疗”（HAART，俗称鸡尾酒疗法），可以最大限度地减少病毒复制，保存机体的免疫功能，使患者获得正常的期望寿命，提高患者的生活质量，减少艾滋病的传播。在这种理想情况下，艾滋病不再是“不治之症”，而是成为和高血压、糖尿病一样的“慢性病”。</w:t>
            </w:r>
          </w:p>
          <w:p w14:paraId="0B0F76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（五）艾滋病病毒暴露后预防</w:t>
            </w:r>
          </w:p>
          <w:p w14:paraId="1704F8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艾滋病病毒暴露后预防（Human Immunodeficiency Virus Post-exposure Prophylaxis，HIV PEP）是一种药物预防艾滋病病毒感染的方法，指在暴露于艾滋病病毒后实施的能够降低艾滋病病毒感染风险的措施。疑似暴露于艾滋病病毒后，需第一时间进行初步处理，并及时记录暴露情况，尽快到相关机构进行咨询和评估，确认是否存在既往艾滋病病毒感染。确定自己属于艾滋病病毒暴露后预防的适宜人群后，需立即遵循医嘱服用暴露后预防药物。若没有条件立刻展开艾滋病病毒检测判断是否为既往艾滋病病毒感染，可以先尽早启动暴露后预防，通常在暴露后 1～2 小时内（或更早）开始，最迟在暴露后 72 小时内服用暴露后预防药物。</w:t>
            </w:r>
          </w:p>
          <w:p w14:paraId="0DB4F5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五、梅毒</w:t>
            </w:r>
          </w:p>
          <w:p w14:paraId="0DB754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梅毒是由梅毒苍白螺旋体通过人类性行为传播的一种慢性、系统性疾病。梅毒螺旋体也可通过胎盘感染胎儿，可分为后天获得性梅毒和胎传梅毒（先天梅毒）。若不经有效治疗，将发生心血管梅毒、神经梅毒、流产、死产、胎儿宫内发育不全、胎传梅毒等严重后果。</w:t>
            </w:r>
          </w:p>
          <w:p w14:paraId="4B3937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（一）梅毒的症状</w:t>
            </w:r>
          </w:p>
          <w:p w14:paraId="341361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获得性梅毒</w:t>
            </w:r>
          </w:p>
          <w:p w14:paraId="18A1AD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一期梅毒（皮肤），表现为硬下疳：为感染后 3 周左右局部出现无痛性皮损，潜伏期 2～4 周。常为单发，也可多发。初为粟粒大小结节，后可发展成直径为 1～2 cm 的圆形或椭圆形浅表性溃疡。二期梅毒（皮肤），获得性二期梅毒发生于感染后 3 个月左右，可有发热、乏力等非特异性症状，主要表现为全身皮肤、黏膜梅毒疹。二期梅毒皮损可模拟任何皮肤损害，以掌跖部铜红色、脱屑性皮疹或外阴、肛周湿丘疹或扁平湿疣为其特征性损害。</w:t>
            </w:r>
          </w:p>
          <w:p w14:paraId="3484D5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三期梅毒（皮肤）又称晚期梅毒，一般发生于感染螺旋体两年以后，病变可波及全身组织和器官。三期梅毒可表现为皮肤黏膜和其他脏器不可逆性损害。</w:t>
            </w:r>
          </w:p>
          <w:p w14:paraId="4ADEA7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胎传（先天）梅毒</w:t>
            </w:r>
          </w:p>
          <w:p w14:paraId="7A187A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多发生于妊娠 4 个月之后，螺旋体经胎盘进入胎儿血流，引起胎儿的全身性感染。早期胎传梅毒临床表现：一般在 2 岁以内发病，类似于获得性二期梅毒，发育不良，皮损常为红斑、丘疹、扁平湿疣、水疱 - 大疱；梅毒性鼻炎及喉炎；骨髓炎、骨软骨炎及骨膜炎；可有全身淋巴结肿大、肝脾大、贫血等。</w:t>
            </w:r>
          </w:p>
          <w:p w14:paraId="296985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晚期胎传梅毒临床表现：一般在 2 岁以后发病，类似于获得性三期梅毒。</w:t>
            </w:r>
          </w:p>
          <w:p w14:paraId="21D385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（二）梅毒的传播途径</w:t>
            </w:r>
          </w:p>
          <w:p w14:paraId="055C16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性接触是梅毒的主要传播途径，占 95% 以上，感染梅毒的早期传染性最强，未患病者在与梅毒患者的性接触中，皮肤或黏膜若有细微破损则可得病。患有梅毒的孕妇可通过胎盘传染给胎儿，引起胎儿宫内感染，可导致流产、早产、死胎或分娩胎传梅毒儿。</w:t>
            </w:r>
          </w:p>
          <w:p w14:paraId="445FE3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（三）梅毒的治疗</w:t>
            </w:r>
          </w:p>
          <w:p w14:paraId="347AF9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梅毒是可以治疗好的，但必须强调一个“早”和一个“足”，也就是治疗要早，药物剂量要足。病人如果在生殖器部位出现硬下疳后 1～2 周内，能及时得到正规治疗，其血液中梅毒螺旋体可以被悉数消灭，临床症状随之很快消退，即可以达到理想的治疗效果。不过，梅毒治愈后，要复查 2～3 年，如果出现复发，则必须再次进行驱梅治疗。梅毒治愈后，是不会影响到下一代的，谨记听从医生嘱托，坚持治疗，做好日常护理。</w:t>
            </w:r>
          </w:p>
          <w:p w14:paraId="7A41C1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（四）梅毒的预防</w:t>
            </w:r>
          </w:p>
          <w:p w14:paraId="79C8DE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（1）加强健康教育和宣传，避免不安全的性行为。</w:t>
            </w:r>
          </w:p>
          <w:p w14:paraId="742DF5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（2）梅毒患者在未治愈前应禁止性行为，如有发生则必须使用安全套，一是避免怀孕将梅毒传染给胎儿，二是避免传染给性伴侣。</w:t>
            </w:r>
          </w:p>
          <w:p w14:paraId="35D582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（3）如需献血，要去正规采血点，在献血前需做全面的血液检查，预防感染。</w:t>
            </w:r>
          </w:p>
          <w:p w14:paraId="207319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cs="宋体"/>
                <w:b/>
                <w:bCs w:val="0"/>
                <w:color w:val="C00000"/>
                <w:kern w:val="2"/>
                <w:sz w:val="28"/>
                <w:szCs w:val="28"/>
                <w:lang w:val="en-US" w:eastAsia="zh-CN" w:bidi="ar"/>
              </w:rPr>
            </w:pPr>
            <w:r>
              <w:rPr>
                <w:rFonts w:hint="eastAsia" w:ascii="宋体" w:hAnsi="宋体" w:cs="宋体"/>
                <w:b/>
                <w:bCs w:val="0"/>
                <w:color w:val="C00000"/>
                <w:kern w:val="2"/>
                <w:sz w:val="28"/>
                <w:szCs w:val="28"/>
                <w:lang w:val="en-US" w:eastAsia="zh-CN" w:bidi="ar"/>
              </w:rPr>
              <w:t>【案例故事】</w:t>
            </w:r>
          </w:p>
          <w:p w14:paraId="76102F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大学生边缘性行为染上性病某高校大三男生在查出患有梅毒后，他向医生讲述了自己不洁性行为的经历。刚开始，他发现下体有异样时，并没有往性病上想，当医生确诊其患上了梅毒时，他还十分惊讶。他强调自己并没有发生性行为，只是就到一家洗浴中心找了按摩女，两人有了生殖器接触的边缘性行为，并未发生实质的性行为。</w:t>
            </w:r>
          </w:p>
          <w:p w14:paraId="35FC10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医生告诉这位男孩，梅毒传播性很强，能通过皮肤黏膜的直接接触传染，该名男生事后非常懊悔。</w:t>
            </w:r>
          </w:p>
          <w:p w14:paraId="1E9F3CFB">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8"/>
                <w:szCs w:val="28"/>
                <w:lang w:val="en-US" w:eastAsia="zh-CN" w:bidi="ar"/>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505DE71D">
            <w:pPr>
              <w:keepNext w:val="0"/>
              <w:keepLines w:val="0"/>
              <w:suppressLineNumbers w:val="0"/>
              <w:spacing w:before="0" w:beforeAutospacing="0" w:after="0" w:afterAutospacing="0" w:line="360" w:lineRule="auto"/>
              <w:ind w:left="0" w:right="0"/>
              <w:jc w:val="left"/>
              <w:rPr>
                <w:rFonts w:hint="default" w:ascii="Times New Roman" w:hAnsi="Times New Roman"/>
                <w:sz w:val="28"/>
                <w:szCs w:val="28"/>
              </w:rPr>
            </w:pPr>
            <w:r>
              <w:rPr>
                <w:rFonts w:hint="eastAsia" w:ascii="Times New Roman" w:hAnsi="Times New Roman"/>
                <w:b/>
                <w:sz w:val="28"/>
                <w:szCs w:val="28"/>
              </w:rPr>
              <w:t>教师通过</w:t>
            </w:r>
            <w:r>
              <w:rPr>
                <w:rFonts w:hint="eastAsia" w:ascii="Times New Roman" w:hAnsi="Times New Roman"/>
                <w:b/>
                <w:sz w:val="28"/>
                <w:szCs w:val="28"/>
                <w:lang w:eastAsia="zh-CN"/>
              </w:rPr>
              <w:t>展示生殖系统健康问题的预防与识别</w:t>
            </w:r>
            <w:r>
              <w:rPr>
                <w:rFonts w:hint="eastAsia" w:ascii="Times New Roman" w:hAnsi="Times New Roman"/>
                <w:b/>
                <w:sz w:val="28"/>
                <w:szCs w:val="28"/>
              </w:rPr>
              <w:t>，</w:t>
            </w:r>
            <w:r>
              <w:rPr>
                <w:rFonts w:hint="eastAsia" w:ascii="Times New Roman" w:hAnsi="Times New Roman"/>
                <w:b/>
                <w:sz w:val="28"/>
                <w:szCs w:val="28"/>
                <w:lang w:eastAsia="zh-CN"/>
              </w:rPr>
              <w:t>让</w:t>
            </w:r>
            <w:r>
              <w:rPr>
                <w:rFonts w:hint="eastAsia" w:ascii="Times New Roman" w:hAnsi="Times New Roman"/>
                <w:b/>
                <w:sz w:val="28"/>
                <w:szCs w:val="28"/>
              </w:rPr>
              <w:t>学生了解生殖系统健康问题的预防与识别的基本理论知识。</w:t>
            </w:r>
          </w:p>
        </w:tc>
      </w:tr>
      <w:tr w14:paraId="0D61C40F">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587BA540">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7AF89756">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3min</w:t>
            </w:r>
            <w:r>
              <w:rPr>
                <w:rFonts w:hint="eastAsia" w:ascii="宋体" w:hAnsi="宋体" w:eastAsia="宋体" w:cs="宋体"/>
                <w:kern w:val="2"/>
                <w:sz w:val="28"/>
                <w:szCs w:val="28"/>
                <w:lang w:val="en-US" w:eastAsia="zh-CN" w:bidi="ar"/>
              </w:rPr>
              <w:t>）</w:t>
            </w:r>
          </w:p>
        </w:tc>
        <w:tc>
          <w:tcPr>
            <w:tcW w:w="6676" w:type="dxa"/>
            <w:tcBorders>
              <w:tl2br w:val="nil"/>
              <w:tr2bl w:val="nil"/>
            </w:tcBorders>
            <w:vAlign w:val="center"/>
          </w:tcPr>
          <w:p w14:paraId="4E1E320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41EFCD3F">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生殖系统健康问题的预防与识别</w:t>
            </w:r>
            <w:r>
              <w:rPr>
                <w:rFonts w:hint="eastAsia" w:ascii="宋体" w:hAnsi="宋体" w:cs="宋体"/>
                <w:b/>
                <w:bCs w:val="0"/>
                <w:kern w:val="0"/>
                <w:sz w:val="28"/>
                <w:szCs w:val="28"/>
                <w:lang w:val="en-US" w:eastAsia="zh-CN" w:bidi="ar"/>
              </w:rPr>
              <w:t>，大学生可以通过了解与性行为有关的知识，学会用尊重、责任心和自控力等来调适自己的心理，拒绝不负责任的性行为，保持性生理和性心理的健康，从而更好地适应性成熟的过程。</w:t>
            </w:r>
          </w:p>
        </w:tc>
        <w:tc>
          <w:tcPr>
            <w:tcW w:w="1650" w:type="dxa"/>
            <w:tcBorders>
              <w:tl2br w:val="nil"/>
              <w:tr2bl w:val="nil"/>
            </w:tcBorders>
            <w:vAlign w:val="center"/>
          </w:tcPr>
          <w:p w14:paraId="45EA316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2BC1FE7F">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682692EE">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2min</w:t>
            </w:r>
            <w:r>
              <w:rPr>
                <w:rFonts w:hint="eastAsia" w:ascii="宋体" w:hAnsi="宋体" w:eastAsia="宋体" w:cs="宋体"/>
                <w:kern w:val="2"/>
                <w:sz w:val="28"/>
                <w:szCs w:val="28"/>
                <w:lang w:val="en-US" w:eastAsia="zh-CN" w:bidi="ar"/>
              </w:rPr>
              <w:t>）</w:t>
            </w:r>
          </w:p>
        </w:tc>
        <w:tc>
          <w:tcPr>
            <w:tcW w:w="6676" w:type="dxa"/>
            <w:tcBorders>
              <w:tl2br w:val="nil"/>
              <w:tr2bl w:val="nil"/>
            </w:tcBorders>
            <w:vAlign w:val="center"/>
          </w:tcPr>
          <w:p w14:paraId="0B2EA0E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布置课后作业</w:t>
            </w:r>
          </w:p>
          <w:p w14:paraId="5F109069">
            <w:pPr>
              <w:keepNext w:val="0"/>
              <w:keepLines w:val="0"/>
              <w:widowControl w:val="0"/>
              <w:suppressLineNumbers w:val="0"/>
              <w:spacing w:before="0" w:beforeAutospacing="0" w:after="0" w:afterAutospacing="0" w:line="360" w:lineRule="auto"/>
              <w:ind w:left="0" w:leftChars="0" w:right="0" w:rightChars="0" w:firstLine="562" w:firstLineChars="2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思考一下，</w:t>
            </w:r>
            <w:r>
              <w:rPr>
                <w:rFonts w:hint="eastAsia" w:ascii="宋体" w:hAnsi="宋体" w:cs="宋体"/>
                <w:b/>
                <w:bCs w:val="0"/>
                <w:kern w:val="2"/>
                <w:sz w:val="28"/>
                <w:szCs w:val="28"/>
                <w:lang w:val="en-US" w:eastAsia="zh-CN" w:bidi="ar"/>
              </w:rPr>
              <w:t>性传播疾病的传播方式有哪些？</w:t>
            </w:r>
          </w:p>
        </w:tc>
        <w:tc>
          <w:tcPr>
            <w:tcW w:w="1650" w:type="dxa"/>
            <w:tcBorders>
              <w:tl2br w:val="nil"/>
              <w:tr2bl w:val="nil"/>
            </w:tcBorders>
            <w:vAlign w:val="center"/>
          </w:tcPr>
          <w:p w14:paraId="0EDEAB5B">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通过课后练习，使学生巩固所学新知识</w:t>
            </w:r>
          </w:p>
        </w:tc>
      </w:tr>
      <w:tr w14:paraId="1EF216FF">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497BA97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8"/>
                <w:szCs w:val="28"/>
              </w:rPr>
            </w:pPr>
            <w:r>
              <w:rPr>
                <w:rFonts w:hint="eastAsia" w:ascii="微软雅黑" w:hAnsi="微软雅黑" w:eastAsia="微软雅黑"/>
                <w:b/>
                <w:sz w:val="28"/>
                <w:szCs w:val="28"/>
                <w:lang w:eastAsia="zh-CN"/>
              </w:rPr>
              <w:t>知识讲解</w:t>
            </w:r>
            <w:r>
              <w:rPr>
                <w:rFonts w:hint="default" w:ascii="Times New Roman" w:hAnsi="Times New Roman"/>
                <w:sz w:val="28"/>
                <w:szCs w:val="28"/>
              </w:rPr>
              <w:t>（45</w:t>
            </w:r>
            <w:r>
              <w:rPr>
                <w:rFonts w:hint="eastAsia" w:ascii="Times New Roman" w:hAnsi="Times New Roman"/>
                <w:sz w:val="28"/>
                <w:szCs w:val="28"/>
              </w:rPr>
              <w:t>min</w:t>
            </w:r>
            <w:r>
              <w:rPr>
                <w:rFonts w:hint="default" w:ascii="Times New Roman" w:hAnsi="Times New Roman"/>
                <w:sz w:val="28"/>
                <w:szCs w:val="28"/>
              </w:rPr>
              <w:t>）</w:t>
            </w:r>
          </w:p>
        </w:tc>
        <w:tc>
          <w:tcPr>
            <w:tcW w:w="6676" w:type="dxa"/>
            <w:tcBorders>
              <w:tl2br w:val="nil"/>
              <w:tr2bl w:val="nil"/>
            </w:tcBorders>
            <w:vAlign w:val="center"/>
          </w:tcPr>
          <w:p w14:paraId="0736AF8E">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性与生育</w:t>
            </w:r>
          </w:p>
          <w:p w14:paraId="4F8E57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一、避孕</w:t>
            </w:r>
          </w:p>
          <w:p w14:paraId="5DD575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避孕是指性交时避免女性受孕的措施和行为。人类自古以来便有节育的意识和传统，但直到现代才拥有健康有效且种类丰富的避孕措施。常见的避孕方法有安全套、口服避孕药、宫内节育器、手术避孕法等。</w:t>
            </w:r>
          </w:p>
          <w:p w14:paraId="69E83E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避孕是伴侣双方共同的责任，任何一次无保护性行为都可能导致怀孕，并且会带来感染性病、艾滋病的风险。在没有怀孕打算的前提下，每次都应该采取避孕措施。</w:t>
            </w:r>
          </w:p>
          <w:p w14:paraId="20B606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（一）安全套</w:t>
            </w:r>
          </w:p>
          <w:p w14:paraId="7A759B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安全套不仅可以有效地避孕，还可以预防性病、艾滋病的传播。安全套的优点：在正确使用的前提下能够达到避孕效果，避孕率可以达到 98%。避孕失败的唯一可能性是使用方法不当，其中包括安全套使用时间太迟，性交后阴茎从阴道中取出太晚，使用过程中安全套破裂等。</w:t>
            </w:r>
          </w:p>
          <w:p w14:paraId="75475B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（二）口服避孕药</w:t>
            </w:r>
          </w:p>
          <w:p w14:paraId="367EC1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口服避孕药是由人工合成的雌激素和孕激素构成。通过抑制排卵改变子宫颈黏液，使精子不易穿透，或使子宫腺体减少肝糖的制造，让囊胚不易存活，或是改变子宫和输卵管的活动方式，阻碍受精卵的运送。避孕药一般分为短效、长效、紧急避孕药三类。其中短效避孕药是常规的避孕方法，需要每天服用。长效避孕药相对来说一个月只用一次，或者是几个月用一次，一次性进入体内的激素量比较大，不适合未生育女性服用。紧急避孕药作为事后避孕药，在常规避孕失败后 72 小时内，需及时正确服用紧急避孕药。紧急避孕药不是常规用药，多次服用可能会出现月经紊乱、恶心、呕吐等副作用。</w:t>
            </w:r>
          </w:p>
          <w:p w14:paraId="2BAFBD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（三）宫内节育器</w:t>
            </w:r>
          </w:p>
          <w:p w14:paraId="2996D8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宫内节育器是一种放置在子宫腔内的避孕装置，通常以不锈钢、塑料、硅橡胶等材料制成，不带药的节育器称惰性宫内节育器，如宫内节育器加上孕激素或铜，可提高避孕效果，称之为带药或活性宫内节育器。其避孕原理是：当有胚胎欲在子宫内着床时，不断动作的节育环刮擦子宫壁，造成子宫的无菌性炎症，使胚胎无法在子宫内正常着床受孕，从而造成流产，以达到避孕的目的。但宫内节育器具有有效期，到期需要及时取出。</w:t>
            </w:r>
          </w:p>
          <w:p w14:paraId="5AAF40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（四）手术避孕</w:t>
            </w:r>
          </w:p>
          <w:p w14:paraId="14E622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手术避孕是针对两性生殖器官进行的可逆结扎手术，女性可进行输卵管结扎，男性可进行输精管结扎。两种手术的副作用均极小，没有明显的长期副作用，并且输卵管结扎可降低卵巢癌的风险。如果有生育意愿，可通过手术进行逆转，逆转手术后妊娠成功率为 31%～88%，手术会增加妊娠风险。</w:t>
            </w:r>
          </w:p>
          <w:p w14:paraId="619D04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（五）紧急避孕</w:t>
            </w:r>
          </w:p>
          <w:p w14:paraId="105FF1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紧急避孕是指在没有采取避孕措施（无防护）或避孕失败（安全套破裂或滑落、漏服避孕药等）的性生活后，在有效时间内采用的一种避孕的补救措施。下列任何一种情况发生时，均应采取紧急避孕措施。</w:t>
            </w:r>
          </w:p>
          <w:p w14:paraId="25EFBD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（1）无保护的性行为，包括未使用安全套、体外射精、安全期性交等。</w:t>
            </w:r>
          </w:p>
          <w:p w14:paraId="192104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（2）安全套破裂或滑落。</w:t>
            </w:r>
          </w:p>
          <w:p w14:paraId="067DDD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（3）宫内节育器部分或完全脱落。</w:t>
            </w:r>
          </w:p>
          <w:p w14:paraId="6E585E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（4）漏服口服避孕药。</w:t>
            </w:r>
          </w:p>
          <w:p w14:paraId="5342D6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（5）被性侵犯。</w:t>
            </w:r>
          </w:p>
          <w:p w14:paraId="2EF4A3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二、非意愿妊娠与应对</w:t>
            </w:r>
          </w:p>
          <w:p w14:paraId="3E9BC0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非意愿妊娠，指无准备及计划发生的妊娠，多以人工流产为结局。人工流产，指在妊娠 24 周以内，采用人工方法，把已经发育但还没有成熟的胚胎和胎盘从子宫里取出，达到妊娠结束的目的。</w:t>
            </w:r>
          </w:p>
          <w:p w14:paraId="1E769E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发生非意愿妊娠怎么办？</w:t>
            </w:r>
          </w:p>
          <w:p w14:paraId="5347EF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一是告诉你最信任的人，二是接受医生的指导，三是尽早实施人工流产。目前使用人工流产的方法主要有以下几种。</w:t>
            </w:r>
          </w:p>
          <w:p w14:paraId="3DD01B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（一）药流</w:t>
            </w:r>
          </w:p>
          <w:p w14:paraId="35CEAA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药流指在医生指导下服药进行流产，只适用于怀孕早期，常用药物：米非司酮、米菲前列醇。药流不一定能达到完全结束妊娠的效果，一旦失败，仍残留在体内的组织可能会诱发大出血，如未及时处理，会危及生命。此外如有心脏、贫血等基础疾病，则不适合药流。</w:t>
            </w:r>
          </w:p>
          <w:p w14:paraId="478403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（二）人流</w:t>
            </w:r>
          </w:p>
          <w:p w14:paraId="60079E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人流指通过刮宫术，将胎儿组织与母体分离，再通过负压吸取器将胎儿组织吸取出来。分为普通人流和无痛人流，无痛人流是建立在普通人流的基础上，通过全麻进行的一种流产方式。人流的成功率高，但人流对身体的伤害，尤其是不正规的人流对女性的伤害可能是持久的，甚至终生性的，比如不孕、输卵管阻塞、输卵管炎、子宫穿孔、子宫内膜炎、宫颈或宫腔黏连、内分泌紊乱、月经不调等，也会增加自然流产、早产、胎盘异常及低体重儿等不良怀孕结局。</w:t>
            </w:r>
          </w:p>
          <w:p w14:paraId="493750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三、性侵害的预防与应对</w:t>
            </w:r>
          </w:p>
          <w:p w14:paraId="6691EC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（一）什么是性侵害</w:t>
            </w:r>
          </w:p>
          <w:p w14:paraId="65C7A8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性侵害涉及各种非意愿的性接触和被强迫的性行为，包括强制性交、强迫亲吻、性骚扰、性虐待，露阴、窥阴等在司法判例上也可能被算作性侵害。</w:t>
            </w:r>
          </w:p>
          <w:p w14:paraId="39E4BE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2019 年 11 月至 2020 年 2 月期间，中国计划生育协会、中国计生协中国青年网络、清华大学公共健康研究中心共同发起并实施了“全国大学生性与生殖健康调查”。调查报告显示约有 1/3 的大学生经历过不同形式的言语性骚扰。性骚扰或性侵害行为的实施者主要是：同学 / 朋友（46.05%）、男 / 女朋友或配偶（23.2%）、网友（22.35%）、非网友的陌生人（18.63%）。女生更容易遭受来自非网友的陌生人的性骚扰或性侵害。在经历性骚扰或性侵害后，56% 的大学生没有向他人诉说或求助。</w:t>
            </w:r>
          </w:p>
          <w:p w14:paraId="75EB43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（二）遭遇性侵害该怎么办</w:t>
            </w:r>
          </w:p>
          <w:p w14:paraId="092536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任何人都可能是性侵害或性暴力的实施者。无论男女，在遭受性虐待、性侵害、亲密伴侣暴力和欺凌时，都不是受害者的过错。即使在亲密关系中，实施性暴力和性侵害也是错误的。如果不幸遭遇性侵害（包括强奸、性虐待、性骚扰、乱伦或欺凌等），可借鉴以下方法。</w:t>
            </w:r>
          </w:p>
          <w:p w14:paraId="6E5584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第一，牢记生命第一原则，将可能的伤害降到最低。如设法说服对方使用安全套，以防止怀孕、感染性病或艾滋病，如不用过激的言语激怒持械的施暴者等。</w:t>
            </w:r>
          </w:p>
          <w:p w14:paraId="2C9647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第二，保持冷静，收集更多证据。包括长相特征、身份信息、聊天记录、对话录音、抓痕、毛发、精斑、内衣内裤等。特别是不要立刻洗澡或丢弃证物。</w:t>
            </w:r>
          </w:p>
          <w:p w14:paraId="0B3106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第三，遭遇性侵后要马上求助，包括到医院救治，向公安机关报案，到心理咨询机构求助。12355 全国青少年服务热线、12338 全国妇联维权公益服务热线可提供性侵犯的自护教育、心理辅导和法律咨询。</w:t>
            </w:r>
          </w:p>
          <w:p w14:paraId="163188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C00000"/>
                <w:kern w:val="2"/>
                <w:sz w:val="28"/>
                <w:szCs w:val="28"/>
                <w:lang w:val="en-US" w:eastAsia="zh-CN" w:bidi="ar"/>
              </w:rPr>
              <w:t>【案例故事】</w:t>
            </w:r>
          </w:p>
          <w:p w14:paraId="3EAF64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center"/>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三月两次“人流”</w:t>
            </w:r>
          </w:p>
          <w:p w14:paraId="5519BB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一名年仅 21 岁的女大学生，3 个月前曾经到某市计划生育指导中心做过一次人流手术，当时医生告诉她回去要好好休息，一个月内禁止性生活。</w:t>
            </w:r>
          </w:p>
          <w:p w14:paraId="2EDAE1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该女生回去后自感身体状况不错，再加上男友软磨硬缠，没多久俩人又过起了同居生活，且未采取任何安全避孕措施，后来该女生发现月经没来，一检查发现又怀孕了，不得不再次进行人流手术。</w:t>
            </w:r>
          </w:p>
          <w:p w14:paraId="7F7CF0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专家指出，多次人工流产，不仅会造成过早衰老，还可能引发子宫穿孔、脏器损伤、出血、感染以及其他妇科病，严重者可能会致不孕不育。在性生活中，女生一定要学会保护自己，做好避孕措施，从源头避免非意愿妊娠。</w:t>
            </w:r>
          </w:p>
          <w:p w14:paraId="175D4AF4">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8"/>
                <w:szCs w:val="28"/>
                <w:lang w:val="en-US" w:eastAsia="zh-CN" w:bidi="ar"/>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4899CA18">
            <w:pPr>
              <w:keepNext w:val="0"/>
              <w:keepLines w:val="0"/>
              <w:suppressLineNumbers w:val="0"/>
              <w:spacing w:before="0" w:beforeAutospacing="0" w:after="0" w:afterAutospacing="0" w:line="360" w:lineRule="auto"/>
              <w:ind w:left="0" w:right="0"/>
              <w:jc w:val="left"/>
              <w:rPr>
                <w:rFonts w:hint="default" w:ascii="Times New Roman" w:hAnsi="Times New Roman"/>
                <w:sz w:val="28"/>
                <w:szCs w:val="28"/>
              </w:rPr>
            </w:pPr>
            <w:r>
              <w:rPr>
                <w:rFonts w:hint="eastAsia" w:ascii="Times New Roman" w:hAnsi="Times New Roman"/>
                <w:b/>
                <w:sz w:val="28"/>
                <w:szCs w:val="28"/>
              </w:rPr>
              <w:t>教师通过</w:t>
            </w:r>
            <w:r>
              <w:rPr>
                <w:rFonts w:hint="eastAsia" w:ascii="Times New Roman" w:hAnsi="Times New Roman"/>
                <w:b/>
                <w:sz w:val="28"/>
                <w:szCs w:val="28"/>
                <w:lang w:eastAsia="zh-CN"/>
              </w:rPr>
              <w:t>展示性与生育</w:t>
            </w:r>
            <w:r>
              <w:rPr>
                <w:rFonts w:hint="eastAsia" w:ascii="Times New Roman" w:hAnsi="Times New Roman"/>
                <w:b/>
                <w:sz w:val="28"/>
                <w:szCs w:val="28"/>
              </w:rPr>
              <w:t>，</w:t>
            </w:r>
            <w:r>
              <w:rPr>
                <w:rFonts w:hint="eastAsia" w:ascii="Times New Roman" w:hAnsi="Times New Roman"/>
                <w:b/>
                <w:sz w:val="28"/>
                <w:szCs w:val="28"/>
                <w:lang w:eastAsia="zh-CN"/>
              </w:rPr>
              <w:t>让</w:t>
            </w:r>
            <w:r>
              <w:rPr>
                <w:rFonts w:hint="eastAsia" w:ascii="Times New Roman" w:hAnsi="Times New Roman"/>
                <w:b/>
                <w:sz w:val="28"/>
                <w:szCs w:val="28"/>
              </w:rPr>
              <w:t>学生了解性与生育的基本理论知识。</w:t>
            </w:r>
          </w:p>
        </w:tc>
      </w:tr>
      <w:tr w14:paraId="214EF42D">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661477A4">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67D59E1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3min</w:t>
            </w:r>
            <w:r>
              <w:rPr>
                <w:rFonts w:hint="eastAsia" w:ascii="宋体" w:hAnsi="宋体" w:eastAsia="宋体" w:cs="宋体"/>
                <w:kern w:val="2"/>
                <w:sz w:val="28"/>
                <w:szCs w:val="28"/>
                <w:lang w:val="en-US" w:eastAsia="zh-CN" w:bidi="ar"/>
              </w:rPr>
              <w:t>）</w:t>
            </w:r>
          </w:p>
        </w:tc>
        <w:tc>
          <w:tcPr>
            <w:tcW w:w="6676" w:type="dxa"/>
            <w:tcBorders>
              <w:tl2br w:val="nil"/>
              <w:tr2bl w:val="nil"/>
            </w:tcBorders>
            <w:vAlign w:val="center"/>
          </w:tcPr>
          <w:p w14:paraId="0F61F33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4A466DFD">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性与生育</w:t>
            </w:r>
            <w:r>
              <w:rPr>
                <w:rFonts w:hint="eastAsia" w:ascii="宋体" w:hAnsi="宋体" w:cs="宋体"/>
                <w:b/>
                <w:bCs w:val="0"/>
                <w:kern w:val="0"/>
                <w:sz w:val="28"/>
                <w:szCs w:val="28"/>
                <w:lang w:val="en-US" w:eastAsia="zh-CN" w:bidi="ar"/>
              </w:rPr>
              <w:t>，大学生对性要理性认识、科学对待，用社会的、道德的、理性的力量来调节生物的、本能的、感性的力量，做出无伤害、负责任的决定。</w:t>
            </w:r>
          </w:p>
        </w:tc>
        <w:tc>
          <w:tcPr>
            <w:tcW w:w="1650" w:type="dxa"/>
            <w:tcBorders>
              <w:tl2br w:val="nil"/>
              <w:tr2bl w:val="nil"/>
            </w:tcBorders>
            <w:vAlign w:val="center"/>
          </w:tcPr>
          <w:p w14:paraId="12DD5BD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31337401">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035E2D0A">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2min</w:t>
            </w:r>
            <w:r>
              <w:rPr>
                <w:rFonts w:hint="eastAsia" w:ascii="宋体" w:hAnsi="宋体" w:eastAsia="宋体" w:cs="宋体"/>
                <w:kern w:val="2"/>
                <w:sz w:val="28"/>
                <w:szCs w:val="28"/>
                <w:lang w:val="en-US" w:eastAsia="zh-CN" w:bidi="ar"/>
              </w:rPr>
              <w:t>）</w:t>
            </w:r>
          </w:p>
        </w:tc>
        <w:tc>
          <w:tcPr>
            <w:tcW w:w="6676" w:type="dxa"/>
            <w:tcBorders>
              <w:tl2br w:val="nil"/>
              <w:tr2bl w:val="nil"/>
            </w:tcBorders>
            <w:vAlign w:val="center"/>
          </w:tcPr>
          <w:p w14:paraId="0698A9C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布置课后作业</w:t>
            </w:r>
          </w:p>
          <w:p w14:paraId="05189106">
            <w:pPr>
              <w:keepNext w:val="0"/>
              <w:keepLines w:val="0"/>
              <w:widowControl w:val="0"/>
              <w:suppressLineNumbers w:val="0"/>
              <w:spacing w:before="0" w:beforeAutospacing="0" w:after="0" w:afterAutospacing="0" w:line="360" w:lineRule="auto"/>
              <w:ind w:left="0" w:leftChars="0" w:right="0" w:rightChars="0" w:firstLine="562" w:firstLineChars="2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遭遇性侵害该怎么办</w:t>
            </w:r>
            <w:r>
              <w:rPr>
                <w:rFonts w:hint="eastAsia" w:ascii="宋体" w:hAnsi="宋体" w:cs="宋体"/>
                <w:b/>
                <w:bCs w:val="0"/>
                <w:kern w:val="2"/>
                <w:sz w:val="28"/>
                <w:szCs w:val="28"/>
                <w:lang w:val="en-US" w:eastAsia="zh-CN" w:bidi="ar"/>
              </w:rPr>
              <w:t>？</w:t>
            </w:r>
          </w:p>
        </w:tc>
        <w:tc>
          <w:tcPr>
            <w:tcW w:w="1650" w:type="dxa"/>
            <w:tcBorders>
              <w:tl2br w:val="nil"/>
              <w:tr2bl w:val="nil"/>
            </w:tcBorders>
            <w:vAlign w:val="center"/>
          </w:tcPr>
          <w:p w14:paraId="79EB19D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通过课后练习，使学生巩固所学新知识</w:t>
            </w:r>
          </w:p>
        </w:tc>
      </w:tr>
      <w:tr w14:paraId="5CECC343">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879" w:type="dxa"/>
            <w:tcBorders>
              <w:tl2br w:val="nil"/>
              <w:tr2bl w:val="nil"/>
            </w:tcBorders>
            <w:shd w:val="clear" w:color="auto" w:fill="FEF2CC" w:themeFill="accent4" w:themeFillTint="32"/>
            <w:vAlign w:val="center"/>
          </w:tcPr>
          <w:p w14:paraId="14E60E9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8"/>
                <w:szCs w:val="28"/>
              </w:rPr>
            </w:pPr>
            <w:r>
              <w:rPr>
                <w:rFonts w:hint="eastAsia" w:ascii="微软雅黑" w:hAnsi="微软雅黑" w:eastAsia="微软雅黑"/>
                <w:b/>
                <w:sz w:val="28"/>
                <w:szCs w:val="28"/>
              </w:rPr>
              <w:t>教学反思</w:t>
            </w:r>
          </w:p>
        </w:tc>
        <w:tc>
          <w:tcPr>
            <w:tcW w:w="8326" w:type="dxa"/>
            <w:gridSpan w:val="2"/>
            <w:tcBorders>
              <w:tl2br w:val="nil"/>
              <w:tr2bl w:val="nil"/>
            </w:tcBorders>
            <w:vAlign w:val="center"/>
          </w:tcPr>
          <w:p w14:paraId="3942BFDC">
            <w:pPr>
              <w:keepNext w:val="0"/>
              <w:keepLines w:val="0"/>
              <w:suppressLineNumbers w:val="0"/>
              <w:spacing w:before="0" w:beforeAutospacing="0" w:after="0" w:afterAutospacing="0" w:line="360" w:lineRule="auto"/>
              <w:ind w:left="0" w:right="0"/>
              <w:rPr>
                <w:rFonts w:hint="default" w:ascii="Times New Roman" w:hAnsi="Times New Roman"/>
                <w:sz w:val="28"/>
                <w:szCs w:val="28"/>
              </w:rPr>
            </w:pPr>
            <w:r>
              <w:rPr>
                <w:rFonts w:hint="default" w:ascii="Times New Roman" w:hAnsi="Times New Roman"/>
                <w:sz w:val="28"/>
                <w:szCs w:val="28"/>
              </w:rPr>
              <w:t>新课程给了老师更大的空间去处理教材，但是在处理教材前，必须对教材进行彻底的研究，教材中的每一句话、每一幅图，其实都有它的目的，只有认真钻研，吃透教材，才能更好地使用教材。</w:t>
            </w:r>
          </w:p>
        </w:tc>
      </w:tr>
    </w:tbl>
    <w:p w14:paraId="2D5A692F"/>
    <w:sectPr>
      <w:headerReference r:id="rId6" w:type="default"/>
      <w:footerReference r:id="rId7" w:type="default"/>
      <w:pgSz w:w="11906" w:h="16838"/>
      <w:pgMar w:top="1134" w:right="850" w:bottom="1134" w:left="85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华文琥珀">
    <w:panose1 w:val="02010800040101010101"/>
    <w:charset w:val="86"/>
    <w:family w:val="auto"/>
    <w:pitch w:val="default"/>
    <w:sig w:usb0="00000001" w:usb1="080F0000" w:usb2="00000000" w:usb3="00000000" w:csb0="00040000" w:csb1="00000000"/>
  </w:font>
  <w:font w:name="MS Mincho">
    <w:altName w:val="Yu Gothic UI"/>
    <w:panose1 w:val="02020609040205080304"/>
    <w:charset w:val="80"/>
    <w:family w:val="modern"/>
    <w:pitch w:val="default"/>
    <w:sig w:usb0="00000000" w:usb1="00000000" w:usb2="00000012" w:usb3="00000000" w:csb0="4002009F" w:csb1="DFD70000"/>
  </w:font>
  <w:font w:name="Hiragino Sans">
    <w:altName w:val="Yu Gothic UI Light"/>
    <w:panose1 w:val="020B0300000000000000"/>
    <w:charset w:val="80"/>
    <w:family w:val="auto"/>
    <w:pitch w:val="default"/>
    <w:sig w:usb0="00000000" w:usb1="00000000" w:usb2="00000012" w:usb3="00000000" w:csb0="0002000D" w:csb1="00000000"/>
  </w:font>
  <w:font w:name="楷体">
    <w:panose1 w:val="02010609060101010101"/>
    <w:charset w:val="86"/>
    <w:family w:val="auto"/>
    <w:pitch w:val="default"/>
    <w:sig w:usb0="800002BF" w:usb1="38CF7CFA" w:usb2="00000016" w:usb3="00000000" w:csb0="00040001" w:csb1="00000000"/>
  </w:font>
  <w:font w:name="Times New Roman Bold">
    <w:altName w:val="Times New Roman"/>
    <w:panose1 w:val="02020603050405020304"/>
    <w:charset w:val="00"/>
    <w:family w:val="auto"/>
    <w:pitch w:val="default"/>
    <w:sig w:usb0="00000000" w:usb1="00000000" w:usb2="00000009" w:usb3="00000000" w:csb0="400001FF" w:csb1="FFFF0000"/>
  </w:font>
  <w:font w:name="PMingLiU">
    <w:altName w:val="PMingLiU-ExtB"/>
    <w:panose1 w:val="02020500000000000000"/>
    <w:charset w:val="88"/>
    <w:family w:val="roman"/>
    <w:pitch w:val="default"/>
    <w:sig w:usb0="00000000" w:usb1="00000000" w:usb2="00000016" w:usb3="00000000" w:csb0="00100001" w:csb1="00000000"/>
  </w:font>
  <w:font w:name="宋体-繁">
    <w:altName w:val="宋体"/>
    <w:panose1 w:val="02010600040101010101"/>
    <w:charset w:val="86"/>
    <w:family w:val="auto"/>
    <w:pitch w:val="default"/>
    <w:sig w:usb0="00000000" w:usb1="00000000" w:usb2="00000000" w:usb3="00000000" w:csb0="0004009F" w:csb1="DFD70000"/>
  </w:font>
  <w:font w:name="Yu Gothic UI">
    <w:panose1 w:val="020B0500000000000000"/>
    <w:charset w:val="80"/>
    <w:family w:val="auto"/>
    <w:pitch w:val="default"/>
    <w:sig w:usb0="E00002FF" w:usb1="2AC7FDFF" w:usb2="00000016" w:usb3="00000000" w:csb0="2002009F" w:csb1="00000000"/>
  </w:font>
  <w:font w:name="Yu Gothic UI Light">
    <w:panose1 w:val="020B0300000000000000"/>
    <w:charset w:val="80"/>
    <w:family w:val="auto"/>
    <w:pitch w:val="default"/>
    <w:sig w:usb0="E00002FF" w:usb1="2AC7FDFF" w:usb2="00000016" w:usb3="00000000" w:csb0="2002009F" w:csb1="00000000"/>
  </w:font>
  <w:font w:name="PMingLiU-ExtB">
    <w:panose1 w:val="02020500000000000000"/>
    <w:charset w:val="88"/>
    <w:family w:val="auto"/>
    <w:pitch w:val="default"/>
    <w:sig w:usb0="8000002F" w:usb1="02000008" w:usb2="00000000" w:usb3="00000000" w:csb0="00100001" w:csb1="00000000"/>
  </w:font>
  <w:font w:name="华文中宋">
    <w:panose1 w:val="02010600040101010101"/>
    <w:charset w:val="86"/>
    <w:family w:val="auto"/>
    <w:pitch w:val="default"/>
    <w:sig w:usb0="00000287" w:usb1="080F0000" w:usb2="00000000" w:usb3="00000000" w:csb0="0004009F" w:csb1="DFD70000"/>
  </w:font>
  <w:font w:name="华文宋体">
    <w:panose1 w:val="02010600040101010101"/>
    <w:charset w:val="86"/>
    <w:family w:val="auto"/>
    <w:pitch w:val="default"/>
    <w:sig w:usb0="00000287" w:usb1="080F0000" w:usb2="00000000" w:usb3="00000000" w:csb0="0004009F" w:csb1="DFD70000"/>
  </w:font>
  <w:font w:name="汉仪中宋简">
    <w:panose1 w:val="02010600000101010101"/>
    <w:charset w:val="80"/>
    <w:family w:val="auto"/>
    <w:pitch w:val="default"/>
    <w:sig w:usb0="800002BF" w:usb1="184F6CF8" w:usb2="00000012" w:usb3="00000000" w:csb0="00020001" w:csb1="00000000"/>
  </w:font>
  <w:font w:name="新宋体">
    <w:panose1 w:val="02010609030101010101"/>
    <w:charset w:val="86"/>
    <w:family w:val="auto"/>
    <w:pitch w:val="default"/>
    <w:sig w:usb0="00000203" w:usb1="288F0000" w:usb2="00000006" w:usb3="00000000" w:csb0="00040001" w:csb1="00000000"/>
  </w:font>
  <w:font w:name="Malgun Gothic Semilight">
    <w:panose1 w:val="020B0502040204020203"/>
    <w:charset w:val="86"/>
    <w:family w:val="auto"/>
    <w:pitch w:val="default"/>
    <w:sig w:usb0="900002AF" w:usb1="01D77CFB" w:usb2="00000012" w:usb3="00000000" w:csb0="203E01BD" w:csb1="D7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CB84D">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C397F">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4E332">
    <w:pPr>
      <w:pStyle w:val="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0C3050">
    <w:pPr>
      <w:pStyle w:val="6"/>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F5B17E">
    <w:pPr>
      <w:pStyle w:val="6"/>
      <w:pBdr>
        <w:bottom w:val="none" w:color="auto" w:sz="0" w:space="0"/>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10160" b="1270"/>
          <wp:wrapNone/>
          <wp:docPr id="15" name="WordPictureWatermark5699602" descr="背景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PictureWatermark5699602" descr="背景8"/>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7"/>
  <w:displayBackgroundShape w:val="1"/>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06181458"/>
    <w:rsid w:val="08273270"/>
    <w:rsid w:val="0BDF05C2"/>
    <w:rsid w:val="11794537"/>
    <w:rsid w:val="18725A29"/>
    <w:rsid w:val="1D2437DE"/>
    <w:rsid w:val="20FA1CCE"/>
    <w:rsid w:val="273160B0"/>
    <w:rsid w:val="2D3E35CA"/>
    <w:rsid w:val="2D8F7C42"/>
    <w:rsid w:val="2E544C0E"/>
    <w:rsid w:val="30B61474"/>
    <w:rsid w:val="316300E7"/>
    <w:rsid w:val="33C87681"/>
    <w:rsid w:val="35EB1C9E"/>
    <w:rsid w:val="3BFF76B0"/>
    <w:rsid w:val="3CE576FB"/>
    <w:rsid w:val="3FFF5074"/>
    <w:rsid w:val="42A95426"/>
    <w:rsid w:val="45343151"/>
    <w:rsid w:val="45F12DF0"/>
    <w:rsid w:val="55E02539"/>
    <w:rsid w:val="56233DA9"/>
    <w:rsid w:val="5B434A6C"/>
    <w:rsid w:val="5D1F69D4"/>
    <w:rsid w:val="5D2123A5"/>
    <w:rsid w:val="619E44D3"/>
    <w:rsid w:val="61D62B6D"/>
    <w:rsid w:val="620B756E"/>
    <w:rsid w:val="6DDF3EBD"/>
    <w:rsid w:val="6FB10D76"/>
    <w:rsid w:val="71AF9D7C"/>
    <w:rsid w:val="74027C7F"/>
    <w:rsid w:val="75956274"/>
    <w:rsid w:val="79765681"/>
    <w:rsid w:val="7DA623FB"/>
    <w:rsid w:val="7E417A1A"/>
    <w:rsid w:val="7FFFE2CE"/>
    <w:rsid w:val="AEFF9907"/>
    <w:rsid w:val="BF97CDE9"/>
    <w:rsid w:val="BFBFEEE4"/>
    <w:rsid w:val="BFEF97CF"/>
    <w:rsid w:val="DDDDAF9E"/>
    <w:rsid w:val="FF6FC1D9"/>
    <w:rsid w:val="FFFE7A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qFormat="1" w:uiPriority="9" w:name="heading 2"/>
    <w:lsdException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uiPriority w:val="0"/>
    <w:pPr>
      <w:keepNext/>
      <w:keepLines/>
      <w:spacing w:before="340" w:beforeLines="0" w:beforeAutospacing="0" w:after="330" w:afterLines="0" w:afterAutospacing="0" w:line="576" w:lineRule="auto"/>
      <w:outlineLvl w:val="0"/>
    </w:pPr>
    <w:rPr>
      <w:rFonts w:ascii="Times New Roman" w:hAnsi="Times New Roman" w:eastAsia="宋体" w:cstheme="minorBidi"/>
      <w:b/>
      <w:kern w:val="44"/>
      <w:sz w:val="44"/>
      <w:szCs w:val="20"/>
    </w:rPr>
  </w:style>
  <w:style w:type="paragraph" w:styleId="3">
    <w:name w:val="heading 3"/>
    <w:basedOn w:val="1"/>
    <w:next w:val="1"/>
    <w:uiPriority w:val="0"/>
    <w:pPr>
      <w:keepNext/>
      <w:keepLines/>
      <w:spacing w:before="260" w:beforeLines="0" w:beforeAutospacing="0" w:after="260" w:afterLines="0" w:afterAutospacing="0" w:line="413" w:lineRule="auto"/>
      <w:outlineLvl w:val="2"/>
    </w:pPr>
    <w:rPr>
      <w:rFonts w:ascii="Times New Roman" w:hAnsi="Times New Roman" w:eastAsia="宋体" w:cstheme="minorBidi"/>
      <w:b/>
      <w:sz w:val="32"/>
      <w:szCs w:val="20"/>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7"/>
    <w:semiHidden/>
    <w:unhideWhenUsed/>
    <w:qFormat/>
    <w:uiPriority w:val="99"/>
    <w:rPr>
      <w:sz w:val="18"/>
      <w:szCs w:val="18"/>
    </w:rPr>
  </w:style>
  <w:style w:type="paragraph" w:styleId="5">
    <w:name w:val="footer"/>
    <w:basedOn w:val="1"/>
    <w:link w:val="16"/>
    <w:unhideWhenUsed/>
    <w:qFormat/>
    <w:uiPriority w:val="99"/>
    <w:pPr>
      <w:tabs>
        <w:tab w:val="center" w:pos="4153"/>
        <w:tab w:val="right" w:pos="8306"/>
      </w:tabs>
      <w:snapToGrid w:val="0"/>
      <w:jc w:val="left"/>
    </w:pPr>
    <w:rPr>
      <w:sz w:val="18"/>
      <w:szCs w:val="18"/>
    </w:rPr>
  </w:style>
  <w:style w:type="paragraph" w:styleId="6">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table" w:styleId="8">
    <w:name w:val="Table Grid"/>
    <w:basedOn w:val="7"/>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0">
    <w:name w:val="页眉 Char"/>
    <w:basedOn w:val="9"/>
    <w:link w:val="6"/>
    <w:qFormat/>
    <w:uiPriority w:val="99"/>
    <w:rPr>
      <w:rFonts w:ascii="Calibri" w:hAnsi="Calibri" w:eastAsia="宋体" w:cs="Times New Roman"/>
      <w:sz w:val="18"/>
      <w:szCs w:val="18"/>
    </w:rPr>
  </w:style>
  <w:style w:type="paragraph" w:customStyle="1" w:styleId="11">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2">
    <w:name w:val="Heading #3|1"/>
    <w:basedOn w:val="1"/>
    <w:link w:val="13"/>
    <w:qFormat/>
    <w:uiPriority w:val="0"/>
    <w:pPr>
      <w:spacing w:after="160"/>
      <w:outlineLvl w:val="2"/>
    </w:pPr>
    <w:rPr>
      <w:rFonts w:ascii="宋体" w:hAnsi="宋体" w:cs="宋体"/>
      <w:color w:val="EC008D"/>
      <w:sz w:val="20"/>
      <w:szCs w:val="20"/>
      <w:lang w:val="zh-TW" w:eastAsia="zh-TW" w:bidi="zh-TW"/>
    </w:rPr>
  </w:style>
  <w:style w:type="character" w:customStyle="1" w:styleId="13">
    <w:name w:val="Heading #3|1 Char"/>
    <w:link w:val="12"/>
    <w:qFormat/>
    <w:uiPriority w:val="0"/>
    <w:rPr>
      <w:rFonts w:ascii="宋体" w:hAnsi="宋体" w:eastAsia="宋体" w:cs="宋体"/>
      <w:color w:val="EC008D"/>
      <w:sz w:val="20"/>
      <w:szCs w:val="20"/>
      <w:lang w:val="zh-TW" w:eastAsia="zh-TW" w:bidi="zh-TW"/>
    </w:rPr>
  </w:style>
  <w:style w:type="paragraph" w:customStyle="1" w:styleId="14">
    <w:name w:val="Body text|1"/>
    <w:basedOn w:val="1"/>
    <w:link w:val="15"/>
    <w:unhideWhenUsed/>
    <w:qFormat/>
    <w:uiPriority w:val="0"/>
    <w:pPr>
      <w:spacing w:line="360" w:lineRule="auto"/>
      <w:ind w:firstLine="400"/>
    </w:pPr>
    <w:rPr>
      <w:rFonts w:ascii="宋体" w:hAnsi="宋体" w:cs="宋体"/>
      <w:sz w:val="20"/>
      <w:szCs w:val="20"/>
      <w:lang w:val="zh-TW" w:eastAsia="zh-TW" w:bidi="zh-TW"/>
    </w:rPr>
  </w:style>
  <w:style w:type="character" w:customStyle="1" w:styleId="15">
    <w:name w:val="Body text|1 Char"/>
    <w:link w:val="14"/>
    <w:qFormat/>
    <w:uiPriority w:val="0"/>
    <w:rPr>
      <w:rFonts w:ascii="宋体" w:hAnsi="宋体" w:eastAsia="宋体" w:cs="宋体"/>
      <w:sz w:val="20"/>
      <w:szCs w:val="20"/>
      <w:lang w:val="zh-TW" w:eastAsia="zh-TW" w:bidi="zh-TW"/>
    </w:rPr>
  </w:style>
  <w:style w:type="character" w:customStyle="1" w:styleId="16">
    <w:name w:val="页脚 Char"/>
    <w:basedOn w:val="9"/>
    <w:link w:val="5"/>
    <w:qFormat/>
    <w:uiPriority w:val="99"/>
    <w:rPr>
      <w:rFonts w:ascii="Calibri" w:hAnsi="Calibri" w:eastAsia="宋体" w:cs="Times New Roman"/>
      <w:sz w:val="18"/>
      <w:szCs w:val="18"/>
    </w:rPr>
  </w:style>
  <w:style w:type="character" w:customStyle="1" w:styleId="17">
    <w:name w:val="批注框文本 Char"/>
    <w:basedOn w:val="9"/>
    <w:link w:val="4"/>
    <w:semiHidden/>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1.xml"/><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uyue\Library\Containers\com.kingsoft.wpsoffice.mac\Data\&#31179;&#26085;&#22805;&#38451;&#35199;&#19979;.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自然型"/>
      <sectRole val="1"/>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31</Pages>
  <Words>1677</Words>
  <Characters>1732</Characters>
  <Lines>37</Lines>
  <Paragraphs>10</Paragraphs>
  <TotalTime>1</TotalTime>
  <ScaleCrop>false</ScaleCrop>
  <LinksUpToDate>false</LinksUpToDate>
  <CharactersWithSpaces>1750</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2021-06-10T00:16:00Z</dcterms:created>
  <dc:creator>DELL</dc:creator>
  <cp:lastModifiedBy>六月</cp:lastModifiedBy>
  <dcterms:modified xsi:type="dcterms:W3CDTF">2025-03-18T09:08:34Z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D236FA435DC242B082BDA6D3432A6F10_13</vt:lpwstr>
  </property>
  <property fmtid="{D5CDD505-2E9C-101B-9397-08002B2CF9AE}" pid="4" name="KSOTemplateDocerSaveRecord">
    <vt:lpwstr>eyJoZGlkIjoiOTcxZjc4Y2ViNTBlZDVmZTI3YTAxZGE1NWVmM2E2NDEiLCJ1c2VySWQiOiI0MDMzMDA2MzYifQ==</vt:lpwstr>
  </property>
</Properties>
</file>